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B38E" w14:textId="345C0FDE" w:rsidR="00421E55" w:rsidRPr="0077452A" w:rsidRDefault="00603F34">
      <w:pPr>
        <w:pBdr>
          <w:bottom w:val="single" w:sz="6" w:space="1" w:color="auto"/>
        </w:pBdr>
        <w:rPr>
          <w:b/>
          <w:sz w:val="32"/>
        </w:rPr>
      </w:pPr>
      <w:r w:rsidRPr="0077452A">
        <w:rPr>
          <w:b/>
          <w:sz w:val="32"/>
        </w:rPr>
        <w:t xml:space="preserve">The </w:t>
      </w:r>
      <w:r w:rsidR="0018721D" w:rsidRPr="0077452A">
        <w:rPr>
          <w:b/>
          <w:sz w:val="32"/>
        </w:rPr>
        <w:t xml:space="preserve">Brigid </w:t>
      </w:r>
      <w:proofErr w:type="spellStart"/>
      <w:r w:rsidR="0018721D" w:rsidRPr="0077452A">
        <w:rPr>
          <w:b/>
          <w:sz w:val="32"/>
        </w:rPr>
        <w:t>Rivoire</w:t>
      </w:r>
      <w:proofErr w:type="spellEnd"/>
      <w:r w:rsidR="0018721D" w:rsidRPr="0077452A">
        <w:rPr>
          <w:b/>
          <w:sz w:val="32"/>
        </w:rPr>
        <w:t xml:space="preserve"> </w:t>
      </w:r>
      <w:r w:rsidRPr="0077452A">
        <w:rPr>
          <w:b/>
          <w:sz w:val="32"/>
        </w:rPr>
        <w:t xml:space="preserve">Award for </w:t>
      </w:r>
      <w:r w:rsidR="00F470D1" w:rsidRPr="0077452A">
        <w:rPr>
          <w:b/>
          <w:sz w:val="32"/>
        </w:rPr>
        <w:t>Champions of Agricultural Mental Health</w:t>
      </w:r>
      <w:r w:rsidRPr="0077452A">
        <w:rPr>
          <w:b/>
          <w:sz w:val="32"/>
        </w:rPr>
        <w:t xml:space="preserve"> </w:t>
      </w:r>
    </w:p>
    <w:p w14:paraId="7B5EDFC1" w14:textId="43A537D7" w:rsidR="002E1517" w:rsidRPr="0077452A" w:rsidRDefault="002E1517" w:rsidP="00807AD3">
      <w:pPr>
        <w:spacing w:after="60"/>
        <w:rPr>
          <w:b/>
          <w:sz w:val="28"/>
        </w:rPr>
      </w:pPr>
      <w:r w:rsidRPr="0077452A">
        <w:rPr>
          <w:b/>
          <w:sz w:val="28"/>
        </w:rPr>
        <w:t>The Award</w:t>
      </w:r>
    </w:p>
    <w:p w14:paraId="614BF797" w14:textId="07E5D711" w:rsidR="00603F34" w:rsidRDefault="00603F34">
      <w:r w:rsidRPr="00603F34">
        <w:t xml:space="preserve">The </w:t>
      </w:r>
      <w:r>
        <w:t>Brigid Rivoire</w:t>
      </w:r>
      <w:r w:rsidRPr="00603F34">
        <w:t xml:space="preserve"> Award for </w:t>
      </w:r>
      <w:r>
        <w:t>Champions of Agricultural Mental Health</w:t>
      </w:r>
      <w:r w:rsidRPr="00603F34">
        <w:t xml:space="preserve"> </w:t>
      </w:r>
      <w:r>
        <w:t xml:space="preserve">annually </w:t>
      </w:r>
      <w:r w:rsidRPr="00603F34">
        <w:t>recognizes</w:t>
      </w:r>
      <w:r>
        <w:t xml:space="preserve"> </w:t>
      </w:r>
      <w:r w:rsidR="00787969">
        <w:t>a specific initiative</w:t>
      </w:r>
      <w:r>
        <w:t xml:space="preserve"> that</w:t>
      </w:r>
      <w:r w:rsidRPr="00603F34">
        <w:t xml:space="preserve"> ha</w:t>
      </w:r>
      <w:r>
        <w:t>s</w:t>
      </w:r>
      <w:r w:rsidRPr="00603F34">
        <w:t xml:space="preserve"> made outstanding contributions </w:t>
      </w:r>
      <w:r>
        <w:t>in raising awareness</w:t>
      </w:r>
      <w:r w:rsidR="00136E1F">
        <w:t>, addressing stigma,</w:t>
      </w:r>
      <w:r>
        <w:t xml:space="preserve"> and supporting mental health</w:t>
      </w:r>
      <w:r w:rsidR="009271A3">
        <w:t xml:space="preserve"> for farmers</w:t>
      </w:r>
      <w:r>
        <w:t xml:space="preserve"> in their local community</w:t>
      </w:r>
      <w:r w:rsidRPr="00603F34">
        <w:t xml:space="preserve">. </w:t>
      </w:r>
      <w:r>
        <w:t>This annual</w:t>
      </w:r>
      <w:r w:rsidRPr="00603F34">
        <w:t xml:space="preserve"> award includes a $</w:t>
      </w:r>
      <w:r>
        <w:t>2</w:t>
      </w:r>
      <w:r w:rsidRPr="00603F34">
        <w:t xml:space="preserve">,000 </w:t>
      </w:r>
      <w:r>
        <w:t>donation to a mental health initiative of the recipient’s choice, along with an invitation to attend the Canadian Federation of Agriculture’s (CFA) Annual General Meeting in February with all expenses paid</w:t>
      </w:r>
      <w:r w:rsidRPr="00603F34">
        <w:t>.</w:t>
      </w:r>
      <w:r>
        <w:t xml:space="preserve"> </w:t>
      </w:r>
    </w:p>
    <w:p w14:paraId="1557BBF5" w14:textId="12B378B1" w:rsidR="00603F34" w:rsidRDefault="00603F34">
      <w:r>
        <w:t xml:space="preserve">The recipient will also be profiled by the Canadian Federation of Agriculture through a written profile highlighting their work in the community and sharing the </w:t>
      </w:r>
      <w:r w:rsidR="009271A3">
        <w:t xml:space="preserve">good work </w:t>
      </w:r>
      <w:r>
        <w:t xml:space="preserve">they have </w:t>
      </w:r>
      <w:r w:rsidR="009271A3">
        <w:t>done</w:t>
      </w:r>
      <w:r>
        <w:t xml:space="preserve">. This profile will be published on the CFA website, and through </w:t>
      </w:r>
      <w:r w:rsidR="00F458AE">
        <w:t xml:space="preserve">other </w:t>
      </w:r>
      <w:r>
        <w:t>partner</w:t>
      </w:r>
      <w:r w:rsidR="00F458AE">
        <w:t>s’ publications</w:t>
      </w:r>
      <w:r>
        <w:t xml:space="preserve">, determined prior to the </w:t>
      </w:r>
      <w:r w:rsidR="007A78E0">
        <w:t>nomination</w:t>
      </w:r>
      <w:r>
        <w:t xml:space="preserve"> window each year.</w:t>
      </w:r>
      <w:r w:rsidR="00C25D39">
        <w:t xml:space="preserve"> For example, the first annual award </w:t>
      </w:r>
      <w:r w:rsidR="00787969">
        <w:t>was</w:t>
      </w:r>
      <w:r w:rsidR="00C25D39">
        <w:t xml:space="preserve"> promoted </w:t>
      </w:r>
      <w:r w:rsidR="00787969">
        <w:t>by the Canadian Agricultural Human Resource Council and Farm Management Canada through their social media and respective newsletters.</w:t>
      </w:r>
    </w:p>
    <w:p w14:paraId="43CF9785" w14:textId="1784F725" w:rsidR="00603F34" w:rsidRPr="00603F34" w:rsidRDefault="00F458AE">
      <w:r>
        <w:t xml:space="preserve">To share knowledge and experience more widely, CFA will publish </w:t>
      </w:r>
      <w:r w:rsidR="004C64D2">
        <w:t>profiles for three short-listed finalists</w:t>
      </w:r>
      <w:r w:rsidR="002E1517">
        <w:t xml:space="preserve"> on </w:t>
      </w:r>
      <w:r>
        <w:t xml:space="preserve">its </w:t>
      </w:r>
      <w:r w:rsidR="002E1517">
        <w:t>website as well,</w:t>
      </w:r>
      <w:r>
        <w:t xml:space="preserve"> </w:t>
      </w:r>
      <w:r w:rsidR="002E1517">
        <w:t xml:space="preserve">based on a written overview of their work </w:t>
      </w:r>
      <w:r w:rsidR="00E67562">
        <w:t>provided</w:t>
      </w:r>
      <w:r w:rsidR="002E1517">
        <w:t xml:space="preserve"> in the </w:t>
      </w:r>
      <w:r w:rsidR="007A78E0">
        <w:t>nomination</w:t>
      </w:r>
      <w:r w:rsidR="002E1517">
        <w:t xml:space="preserve"> form.</w:t>
      </w:r>
      <w:r w:rsidRPr="00F458AE">
        <w:t xml:space="preserve"> </w:t>
      </w:r>
      <w:r>
        <w:t xml:space="preserve">Additionally, CFA will explore opportunities to nominate the </w:t>
      </w:r>
      <w:r w:rsidR="00011691">
        <w:t>winner</w:t>
      </w:r>
      <w:r>
        <w:t xml:space="preserve"> for other award program</w:t>
      </w:r>
      <w:r w:rsidR="00701344">
        <w:t>s</w:t>
      </w:r>
      <w:r>
        <w:t xml:space="preserve"> to broaden the publicity for their contributions to mental health in Canada.  </w:t>
      </w:r>
    </w:p>
    <w:p w14:paraId="60F5B05E" w14:textId="6EE3E7F4" w:rsidR="00603F34" w:rsidRPr="0077452A" w:rsidRDefault="00603F34" w:rsidP="00807AD3">
      <w:pPr>
        <w:spacing w:after="60"/>
        <w:rPr>
          <w:b/>
          <w:sz w:val="28"/>
        </w:rPr>
      </w:pPr>
      <w:r w:rsidRPr="0077452A">
        <w:rPr>
          <w:b/>
          <w:sz w:val="28"/>
        </w:rPr>
        <w:t>Potential Recipients</w:t>
      </w:r>
    </w:p>
    <w:p w14:paraId="38465C4D" w14:textId="6AD43663" w:rsidR="00603F34" w:rsidRDefault="002E1517">
      <w:r>
        <w:t xml:space="preserve">While the award criteria will be focused on the extent to which a </w:t>
      </w:r>
      <w:r w:rsidR="00345B0D" w:rsidRPr="00345B0D">
        <w:rPr>
          <w:b/>
          <w:bCs/>
        </w:rPr>
        <w:t xml:space="preserve">specific </w:t>
      </w:r>
      <w:r w:rsidR="00787969" w:rsidRPr="00345B0D">
        <w:rPr>
          <w:b/>
          <w:bCs/>
        </w:rPr>
        <w:t>initiative</w:t>
      </w:r>
      <w:r w:rsidR="00787969">
        <w:t xml:space="preserve"> has </w:t>
      </w:r>
      <w:r>
        <w:t xml:space="preserve">contributed to the support of mental health for Canadian farmers and the broader agricultural community, the award will be made available to </w:t>
      </w:r>
      <w:r w:rsidR="00701344">
        <w:t xml:space="preserve">a </w:t>
      </w:r>
      <w:r>
        <w:t>broad range of stakeholders, including (but not limited to):</w:t>
      </w:r>
    </w:p>
    <w:p w14:paraId="2B642175" w14:textId="18B971B9" w:rsidR="002E1517" w:rsidRDefault="00011691" w:rsidP="002E1517">
      <w:pPr>
        <w:pStyle w:val="ListParagraph"/>
        <w:numPr>
          <w:ilvl w:val="0"/>
          <w:numId w:val="1"/>
        </w:numPr>
      </w:pPr>
      <w:r>
        <w:t>Farmers</w:t>
      </w:r>
      <w:r w:rsidR="002E1517">
        <w:t>;</w:t>
      </w:r>
    </w:p>
    <w:p w14:paraId="1A388451" w14:textId="1D65C0E9" w:rsidR="002E1517" w:rsidRDefault="002E1517" w:rsidP="002E1517">
      <w:pPr>
        <w:pStyle w:val="ListParagraph"/>
        <w:numPr>
          <w:ilvl w:val="0"/>
          <w:numId w:val="1"/>
        </w:numPr>
      </w:pPr>
      <w:r>
        <w:t>Service providers;</w:t>
      </w:r>
    </w:p>
    <w:p w14:paraId="51DAD9F8" w14:textId="218D75B5" w:rsidR="002E1517" w:rsidRDefault="002E1517" w:rsidP="002E1517">
      <w:pPr>
        <w:pStyle w:val="ListParagraph"/>
        <w:numPr>
          <w:ilvl w:val="0"/>
          <w:numId w:val="1"/>
        </w:numPr>
      </w:pPr>
      <w:r>
        <w:t>Community organizations;</w:t>
      </w:r>
    </w:p>
    <w:p w14:paraId="4AE96636" w14:textId="16E83E37" w:rsidR="002E1517" w:rsidRDefault="002E1517" w:rsidP="002E1517">
      <w:pPr>
        <w:pStyle w:val="ListParagraph"/>
        <w:numPr>
          <w:ilvl w:val="0"/>
          <w:numId w:val="1"/>
        </w:numPr>
      </w:pPr>
      <w:r>
        <w:t>Media;</w:t>
      </w:r>
    </w:p>
    <w:p w14:paraId="48E10952" w14:textId="78FBAC44" w:rsidR="002E1517" w:rsidRDefault="002E1517" w:rsidP="002E1517">
      <w:pPr>
        <w:pStyle w:val="ListParagraph"/>
        <w:numPr>
          <w:ilvl w:val="0"/>
          <w:numId w:val="1"/>
        </w:numPr>
      </w:pPr>
      <w:r>
        <w:t>Parliamentarians;</w:t>
      </w:r>
    </w:p>
    <w:p w14:paraId="6A0CA1BD" w14:textId="6F5F7F53" w:rsidR="002E1517" w:rsidRDefault="002E1517" w:rsidP="002E1517">
      <w:pPr>
        <w:pStyle w:val="ListParagraph"/>
        <w:numPr>
          <w:ilvl w:val="0"/>
          <w:numId w:val="1"/>
        </w:numPr>
      </w:pPr>
      <w:r>
        <w:t>Researchers; and</w:t>
      </w:r>
    </w:p>
    <w:p w14:paraId="3DA4930E" w14:textId="4D192641" w:rsidR="002E1517" w:rsidRDefault="002E1517" w:rsidP="002E1517">
      <w:pPr>
        <w:pStyle w:val="ListParagraph"/>
        <w:numPr>
          <w:ilvl w:val="0"/>
          <w:numId w:val="1"/>
        </w:numPr>
      </w:pPr>
      <w:r>
        <w:t>Youth.</w:t>
      </w:r>
    </w:p>
    <w:p w14:paraId="58DD7A0E" w14:textId="689393DB" w:rsidR="003A16E0" w:rsidRDefault="00807AD3" w:rsidP="003A16E0">
      <w:r>
        <w:t xml:space="preserve">To avoid potential conflicts of interest, partner organizations associated with the evaluation of the </w:t>
      </w:r>
      <w:r w:rsidR="00701344">
        <w:t xml:space="preserve">award </w:t>
      </w:r>
      <w:r w:rsidR="00787969">
        <w:t>are required to disclose potential conflicts and recuse themselves from that year’s evaluation process</w:t>
      </w:r>
      <w:r>
        <w:t>.</w:t>
      </w:r>
      <w:r w:rsidR="0065337A">
        <w:t xml:space="preserve"> Any evaluation panelist with a direct relationship to any potential candidate will not participate in the evaluation of any candidates.</w:t>
      </w:r>
    </w:p>
    <w:p w14:paraId="1024D09C" w14:textId="24550A38" w:rsidR="002E1517" w:rsidRPr="0077452A" w:rsidRDefault="002E1517" w:rsidP="00807AD3">
      <w:pPr>
        <w:spacing w:after="60"/>
        <w:rPr>
          <w:b/>
          <w:sz w:val="28"/>
        </w:rPr>
      </w:pPr>
      <w:r w:rsidRPr="0077452A">
        <w:rPr>
          <w:b/>
          <w:sz w:val="28"/>
        </w:rPr>
        <w:t>Basic Eligibility Criteria</w:t>
      </w:r>
    </w:p>
    <w:p w14:paraId="5DD0A9A3" w14:textId="65BCA6E4" w:rsidR="002E1517" w:rsidRDefault="002E1517" w:rsidP="002E1517">
      <w:pPr>
        <w:pStyle w:val="ListParagraph"/>
        <w:numPr>
          <w:ilvl w:val="0"/>
          <w:numId w:val="1"/>
        </w:numPr>
      </w:pPr>
      <w:r>
        <w:t>Ongoing activities</w:t>
      </w:r>
      <w:r w:rsidR="00787969">
        <w:t xml:space="preserve"> within the specified initiative</w:t>
      </w:r>
      <w:r>
        <w:t xml:space="preserve"> have been running for at least 12 months </w:t>
      </w:r>
      <w:r w:rsidR="00011691">
        <w:t xml:space="preserve">before </w:t>
      </w:r>
      <w:r>
        <w:t xml:space="preserve">the date of the </w:t>
      </w:r>
      <w:r w:rsidR="007A78E0">
        <w:t>nomination</w:t>
      </w:r>
      <w:r>
        <w:t xml:space="preserve"> submission deadline.</w:t>
      </w:r>
    </w:p>
    <w:p w14:paraId="4F9785E9" w14:textId="009C171F" w:rsidR="002E1517" w:rsidRDefault="00787969" w:rsidP="002E1517">
      <w:pPr>
        <w:pStyle w:val="ListParagraph"/>
        <w:numPr>
          <w:ilvl w:val="0"/>
          <w:numId w:val="2"/>
        </w:numPr>
      </w:pPr>
      <w:r>
        <w:t xml:space="preserve">Initiatives </w:t>
      </w:r>
      <w:r w:rsidR="002E1517">
        <w:t xml:space="preserve">that have concluded, with a defined end date, will have taken place within two years of the </w:t>
      </w:r>
      <w:r w:rsidR="007A78E0">
        <w:t>nomination</w:t>
      </w:r>
      <w:r w:rsidR="002E1517">
        <w:t xml:space="preserve"> submission deadline.</w:t>
      </w:r>
    </w:p>
    <w:p w14:paraId="02F90A19" w14:textId="192F4976" w:rsidR="002E1517" w:rsidRDefault="002E1517" w:rsidP="002E1517">
      <w:pPr>
        <w:pStyle w:val="ListParagraph"/>
        <w:numPr>
          <w:ilvl w:val="0"/>
          <w:numId w:val="2"/>
        </w:numPr>
      </w:pPr>
      <w:r>
        <w:t>The initiative or activity is</w:t>
      </w:r>
      <w:r w:rsidR="00C25D39">
        <w:t xml:space="preserve"> focused on agriculture and</w:t>
      </w:r>
      <w:r>
        <w:t xml:space="preserve"> based in Canada</w:t>
      </w:r>
      <w:r w:rsidR="00F458AE">
        <w:t>.</w:t>
      </w:r>
    </w:p>
    <w:p w14:paraId="0DB7FF35" w14:textId="309A2708" w:rsidR="002E1517" w:rsidRDefault="002E1517" w:rsidP="002E1517">
      <w:pPr>
        <w:pStyle w:val="ListParagraph"/>
        <w:numPr>
          <w:ilvl w:val="0"/>
          <w:numId w:val="2"/>
        </w:numPr>
      </w:pPr>
      <w:r>
        <w:t xml:space="preserve">The </w:t>
      </w:r>
      <w:r w:rsidR="007A78E0">
        <w:t>nomination form</w:t>
      </w:r>
      <w:r>
        <w:t xml:space="preserve"> is signed by the nominee endorsing the accuracy of the information provided</w:t>
      </w:r>
      <w:r w:rsidR="00872A0F">
        <w:t xml:space="preserve"> and accompanied by a third party reference letter</w:t>
      </w:r>
      <w:r>
        <w:t>.</w:t>
      </w:r>
    </w:p>
    <w:p w14:paraId="66C65524" w14:textId="3B7AC7BB" w:rsidR="002E1517" w:rsidRDefault="002E1517" w:rsidP="002E1517">
      <w:pPr>
        <w:pStyle w:val="ListParagraph"/>
        <w:numPr>
          <w:ilvl w:val="0"/>
          <w:numId w:val="2"/>
        </w:numPr>
      </w:pPr>
      <w:r>
        <w:t xml:space="preserve">The </w:t>
      </w:r>
      <w:r w:rsidR="007A78E0">
        <w:t>nomination form</w:t>
      </w:r>
      <w:r>
        <w:t xml:space="preserve"> is </w:t>
      </w:r>
      <w:r w:rsidR="007A78E0">
        <w:t>submitted by</w:t>
      </w:r>
      <w:r>
        <w:t xml:space="preserve"> a provincial farm organization</w:t>
      </w:r>
      <w:r w:rsidR="007A78E0">
        <w:t>, signifying their endorsement</w:t>
      </w:r>
      <w:r>
        <w:t>.</w:t>
      </w:r>
    </w:p>
    <w:p w14:paraId="0B275A7D" w14:textId="7F2FBC93" w:rsidR="0077452A" w:rsidRPr="00807AD3" w:rsidRDefault="002E1517" w:rsidP="00807AD3">
      <w:pPr>
        <w:pStyle w:val="ListParagraph"/>
        <w:numPr>
          <w:ilvl w:val="0"/>
          <w:numId w:val="2"/>
        </w:numPr>
      </w:pPr>
      <w:r>
        <w:t>Each provincial</w:t>
      </w:r>
      <w:r w:rsidR="00787969">
        <w:t xml:space="preserve"> and territorial</w:t>
      </w:r>
      <w:r>
        <w:t xml:space="preserve"> farm organization can only submit one </w:t>
      </w:r>
      <w:r w:rsidR="007A78E0">
        <w:t>nomination</w:t>
      </w:r>
      <w:r>
        <w:t xml:space="preserve"> during each annual </w:t>
      </w:r>
      <w:r w:rsidR="007A78E0">
        <w:t>nomination</w:t>
      </w:r>
      <w:r>
        <w:t xml:space="preserve"> period</w:t>
      </w:r>
      <w:r w:rsidR="00787969">
        <w:t>, establishing a list of at most 13 potential candidates for the award</w:t>
      </w:r>
    </w:p>
    <w:p w14:paraId="0515A11C" w14:textId="77777777" w:rsidR="00C25D39" w:rsidRDefault="00C25D39" w:rsidP="00807AD3">
      <w:pPr>
        <w:spacing w:after="60"/>
        <w:rPr>
          <w:rFonts w:cs="Calibri-BoldItalic"/>
          <w:b/>
          <w:bCs/>
          <w:iCs/>
          <w:sz w:val="28"/>
          <w:szCs w:val="28"/>
        </w:rPr>
      </w:pPr>
    </w:p>
    <w:p w14:paraId="0710ECA1" w14:textId="77777777" w:rsidR="00C25D39" w:rsidRDefault="00C25D39" w:rsidP="00807AD3">
      <w:pPr>
        <w:spacing w:after="60"/>
        <w:rPr>
          <w:rFonts w:cs="Calibri-BoldItalic"/>
          <w:b/>
          <w:bCs/>
          <w:iCs/>
          <w:sz w:val="28"/>
          <w:szCs w:val="28"/>
        </w:rPr>
      </w:pPr>
    </w:p>
    <w:p w14:paraId="148CED7F" w14:textId="29D26246" w:rsidR="00851624" w:rsidRPr="0077452A" w:rsidRDefault="00851624" w:rsidP="00807AD3">
      <w:pPr>
        <w:spacing w:after="60"/>
        <w:rPr>
          <w:rFonts w:cs="Calibri-BoldItalic"/>
          <w:b/>
          <w:bCs/>
          <w:iCs/>
          <w:sz w:val="28"/>
          <w:szCs w:val="28"/>
        </w:rPr>
      </w:pPr>
      <w:r w:rsidRPr="0077452A">
        <w:rPr>
          <w:rFonts w:cs="Calibri-BoldItalic"/>
          <w:b/>
          <w:bCs/>
          <w:iCs/>
          <w:sz w:val="28"/>
          <w:szCs w:val="28"/>
        </w:rPr>
        <w:t xml:space="preserve">Principle </w:t>
      </w:r>
      <w:r w:rsidR="002F5426">
        <w:rPr>
          <w:rFonts w:cs="Calibri-BoldItalic"/>
          <w:b/>
          <w:bCs/>
          <w:iCs/>
          <w:sz w:val="28"/>
          <w:szCs w:val="28"/>
        </w:rPr>
        <w:t>Evaluation</w:t>
      </w:r>
      <w:r w:rsidR="002F5426" w:rsidRPr="0077452A">
        <w:rPr>
          <w:rFonts w:cs="Calibri-BoldItalic"/>
          <w:b/>
          <w:bCs/>
          <w:iCs/>
          <w:sz w:val="28"/>
          <w:szCs w:val="28"/>
        </w:rPr>
        <w:t xml:space="preserve"> </w:t>
      </w:r>
      <w:r w:rsidRPr="0077452A">
        <w:rPr>
          <w:rFonts w:cs="Calibri-BoldItalic"/>
          <w:b/>
          <w:bCs/>
          <w:iCs/>
          <w:sz w:val="28"/>
          <w:szCs w:val="28"/>
        </w:rPr>
        <w:t>Criteria</w:t>
      </w:r>
    </w:p>
    <w:tbl>
      <w:tblPr>
        <w:tblStyle w:val="GridTable6Colorful1"/>
        <w:tblW w:w="0" w:type="auto"/>
        <w:tblLook w:val="04A0" w:firstRow="1" w:lastRow="0" w:firstColumn="1" w:lastColumn="0" w:noHBand="0" w:noVBand="1"/>
      </w:tblPr>
      <w:tblGrid>
        <w:gridCol w:w="3145"/>
        <w:gridCol w:w="5220"/>
        <w:gridCol w:w="985"/>
      </w:tblGrid>
      <w:tr w:rsidR="00851624" w14:paraId="5E6E1F2A" w14:textId="23B997F7" w:rsidTr="00925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69F8CFB" w14:textId="53D57BF1" w:rsidR="00851624" w:rsidRPr="0092509D" w:rsidRDefault="00851624" w:rsidP="0092509D">
            <w:pPr>
              <w:jc w:val="center"/>
              <w:rPr>
                <w:rFonts w:ascii="Calibri-BoldItalic" w:hAnsi="Calibri-BoldItalic" w:cs="Calibri-BoldItalic"/>
                <w:bCs w:val="0"/>
                <w:iCs/>
                <w:sz w:val="24"/>
              </w:rPr>
            </w:pPr>
            <w:r w:rsidRPr="0092509D">
              <w:rPr>
                <w:rFonts w:ascii="Calibri-BoldItalic" w:hAnsi="Calibri-BoldItalic" w:cs="Calibri-BoldItalic"/>
                <w:bCs w:val="0"/>
                <w:iCs/>
                <w:sz w:val="24"/>
              </w:rPr>
              <w:t>Criteria</w:t>
            </w:r>
          </w:p>
        </w:tc>
        <w:tc>
          <w:tcPr>
            <w:tcW w:w="5220" w:type="dxa"/>
          </w:tcPr>
          <w:p w14:paraId="61F06561" w14:textId="4A740FEE" w:rsidR="00851624" w:rsidRPr="0092509D" w:rsidRDefault="00851624" w:rsidP="0092509D">
            <w:pPr>
              <w:jc w:val="center"/>
              <w:cnfStyle w:val="100000000000" w:firstRow="1" w:lastRow="0" w:firstColumn="0" w:lastColumn="0" w:oddVBand="0" w:evenVBand="0" w:oddHBand="0" w:evenHBand="0" w:firstRowFirstColumn="0" w:firstRowLastColumn="0" w:lastRowFirstColumn="0" w:lastRowLastColumn="0"/>
              <w:rPr>
                <w:rFonts w:ascii="Calibri-BoldItalic" w:hAnsi="Calibri-BoldItalic" w:cs="Calibri-BoldItalic"/>
                <w:bCs w:val="0"/>
                <w:iCs/>
                <w:sz w:val="24"/>
              </w:rPr>
            </w:pPr>
            <w:r w:rsidRPr="0092509D">
              <w:rPr>
                <w:rFonts w:ascii="Calibri-BoldItalic" w:hAnsi="Calibri-BoldItalic" w:cs="Calibri-BoldItalic"/>
                <w:bCs w:val="0"/>
                <w:iCs/>
                <w:sz w:val="24"/>
              </w:rPr>
              <w:t>Description</w:t>
            </w:r>
          </w:p>
        </w:tc>
        <w:tc>
          <w:tcPr>
            <w:tcW w:w="985" w:type="dxa"/>
          </w:tcPr>
          <w:p w14:paraId="2207B1C1" w14:textId="0CABF067" w:rsidR="00851624" w:rsidRPr="0092509D" w:rsidRDefault="00851624" w:rsidP="0092509D">
            <w:pPr>
              <w:jc w:val="center"/>
              <w:cnfStyle w:val="100000000000" w:firstRow="1" w:lastRow="0" w:firstColumn="0" w:lastColumn="0" w:oddVBand="0" w:evenVBand="0" w:oddHBand="0" w:evenHBand="0" w:firstRowFirstColumn="0" w:firstRowLastColumn="0" w:lastRowFirstColumn="0" w:lastRowLastColumn="0"/>
              <w:rPr>
                <w:rFonts w:ascii="Calibri-BoldItalic" w:hAnsi="Calibri-BoldItalic" w:cs="Calibri-BoldItalic"/>
                <w:bCs w:val="0"/>
                <w:iCs/>
                <w:sz w:val="24"/>
              </w:rPr>
            </w:pPr>
            <w:r w:rsidRPr="0092509D">
              <w:rPr>
                <w:rFonts w:ascii="Calibri-BoldItalic" w:hAnsi="Calibri-BoldItalic" w:cs="Calibri-BoldItalic"/>
                <w:bCs w:val="0"/>
                <w:iCs/>
                <w:sz w:val="24"/>
              </w:rPr>
              <w:t>Scoring</w:t>
            </w:r>
          </w:p>
        </w:tc>
      </w:tr>
      <w:tr w:rsidR="00851624" w14:paraId="129D9E01" w14:textId="1C3AF67B" w:rsidTr="00925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41AE81CC" w14:textId="1D269ABE" w:rsidR="00851624" w:rsidRPr="0092509D" w:rsidRDefault="00851624" w:rsidP="0092509D">
            <w:pPr>
              <w:rPr>
                <w:rFonts w:ascii="Calibri-BoldItalic" w:hAnsi="Calibri-BoldItalic" w:cs="Calibri-BoldItalic"/>
                <w:bCs w:val="0"/>
                <w:iCs/>
                <w:sz w:val="24"/>
              </w:rPr>
            </w:pPr>
            <w:r w:rsidRPr="0092509D">
              <w:rPr>
                <w:rFonts w:ascii="Calibri-BoldItalic" w:hAnsi="Calibri-BoldItalic" w:cs="Calibri-BoldItalic"/>
                <w:bCs w:val="0"/>
                <w:iCs/>
                <w:sz w:val="24"/>
              </w:rPr>
              <w:t xml:space="preserve">1. </w:t>
            </w:r>
            <w:r w:rsidR="009271A3">
              <w:rPr>
                <w:rFonts w:ascii="Calibri-BoldItalic" w:hAnsi="Calibri-BoldItalic" w:cs="Calibri-BoldItalic"/>
                <w:bCs w:val="0"/>
                <w:iCs/>
                <w:sz w:val="24"/>
              </w:rPr>
              <w:t>Clarity of Description</w:t>
            </w:r>
          </w:p>
        </w:tc>
        <w:tc>
          <w:tcPr>
            <w:tcW w:w="5220" w:type="dxa"/>
          </w:tcPr>
          <w:p w14:paraId="5EB64C65" w14:textId="484D08BA" w:rsidR="00851624" w:rsidRPr="0092509D" w:rsidRDefault="00851624" w:rsidP="0092509D">
            <w:pPr>
              <w:spacing w:before="120" w:after="120"/>
              <w:cnfStyle w:val="000000100000" w:firstRow="0" w:lastRow="0" w:firstColumn="0" w:lastColumn="0" w:oddVBand="0" w:evenVBand="0" w:oddHBand="1" w:evenHBand="0" w:firstRowFirstColumn="0" w:firstRowLastColumn="0" w:lastRowFirstColumn="0" w:lastRowLastColumn="0"/>
              <w:rPr>
                <w:rFonts w:cs="Calibri-BoldItalic"/>
                <w:b/>
                <w:bCs/>
                <w:iCs/>
              </w:rPr>
            </w:pPr>
            <w:r w:rsidRPr="0092509D">
              <w:rPr>
                <w:rFonts w:cs="Calibri-BoldItalic"/>
                <w:bCs/>
                <w:iCs/>
              </w:rPr>
              <w:t xml:space="preserve">Initiative description provides necessary details and an overview that focuses on the elements outlined in each category description and highlights the </w:t>
            </w:r>
            <w:r w:rsidR="009271A3">
              <w:rPr>
                <w:rFonts w:cs="Calibri-BoldItalic"/>
                <w:bCs/>
                <w:iCs/>
              </w:rPr>
              <w:t>key</w:t>
            </w:r>
            <w:r w:rsidRPr="0092509D">
              <w:rPr>
                <w:rFonts w:cs="Calibri-BoldItalic"/>
                <w:bCs/>
                <w:iCs/>
              </w:rPr>
              <w:t xml:space="preserve"> qualities of the initiative.</w:t>
            </w:r>
          </w:p>
        </w:tc>
        <w:tc>
          <w:tcPr>
            <w:tcW w:w="985" w:type="dxa"/>
          </w:tcPr>
          <w:p w14:paraId="3EC07597" w14:textId="0791AC05" w:rsidR="00851624" w:rsidRPr="0092509D" w:rsidRDefault="00851624" w:rsidP="0092509D">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cs="Calibri"/>
              </w:rPr>
            </w:pPr>
            <w:r w:rsidRPr="0092509D">
              <w:rPr>
                <w:rFonts w:cs="Calibri"/>
              </w:rPr>
              <w:t>&lt;</w:t>
            </w:r>
            <w:r w:rsidR="00807AD3">
              <w:rPr>
                <w:rFonts w:cs="Calibri"/>
              </w:rPr>
              <w:t>5</w:t>
            </w:r>
          </w:p>
          <w:p w14:paraId="1D0E9D75" w14:textId="77777777" w:rsidR="00851624" w:rsidRPr="0092509D" w:rsidRDefault="00851624" w:rsidP="0092509D">
            <w:pPr>
              <w:spacing w:before="120" w:after="120"/>
              <w:jc w:val="center"/>
              <w:cnfStyle w:val="000000100000" w:firstRow="0" w:lastRow="0" w:firstColumn="0" w:lastColumn="0" w:oddVBand="0" w:evenVBand="0" w:oddHBand="1" w:evenHBand="0" w:firstRowFirstColumn="0" w:firstRowLastColumn="0" w:lastRowFirstColumn="0" w:lastRowLastColumn="0"/>
              <w:rPr>
                <w:rFonts w:cs="Calibri-BoldItalic"/>
                <w:b/>
                <w:bCs/>
                <w:iCs/>
              </w:rPr>
            </w:pPr>
          </w:p>
        </w:tc>
      </w:tr>
      <w:tr w:rsidR="00851624" w14:paraId="5B46550F" w14:textId="54BB6400" w:rsidTr="0092509D">
        <w:tc>
          <w:tcPr>
            <w:cnfStyle w:val="001000000000" w:firstRow="0" w:lastRow="0" w:firstColumn="1" w:lastColumn="0" w:oddVBand="0" w:evenVBand="0" w:oddHBand="0" w:evenHBand="0" w:firstRowFirstColumn="0" w:firstRowLastColumn="0" w:lastRowFirstColumn="0" w:lastRowLastColumn="0"/>
            <w:tcW w:w="3145" w:type="dxa"/>
            <w:vAlign w:val="center"/>
          </w:tcPr>
          <w:p w14:paraId="43C341A3" w14:textId="4D6643D0" w:rsidR="00851624" w:rsidRPr="0092509D" w:rsidRDefault="00851624" w:rsidP="0092509D">
            <w:pPr>
              <w:rPr>
                <w:rFonts w:ascii="Calibri-BoldItalic" w:hAnsi="Calibri-BoldItalic" w:cs="Calibri-BoldItalic"/>
                <w:bCs w:val="0"/>
                <w:iCs/>
                <w:sz w:val="24"/>
              </w:rPr>
            </w:pPr>
            <w:r w:rsidRPr="0092509D">
              <w:rPr>
                <w:rFonts w:ascii="Calibri-BoldItalic" w:hAnsi="Calibri-BoldItalic" w:cs="Calibri-BoldItalic"/>
                <w:bCs w:val="0"/>
                <w:iCs/>
                <w:sz w:val="24"/>
              </w:rPr>
              <w:t>2. Defined Need</w:t>
            </w:r>
            <w:r w:rsidR="00C25D39">
              <w:rPr>
                <w:rFonts w:ascii="Calibri-BoldItalic" w:hAnsi="Calibri-BoldItalic" w:cs="Calibri-BoldItalic"/>
                <w:bCs w:val="0"/>
                <w:iCs/>
                <w:sz w:val="24"/>
              </w:rPr>
              <w:t xml:space="preserve"> &amp; Impact</w:t>
            </w:r>
          </w:p>
        </w:tc>
        <w:tc>
          <w:tcPr>
            <w:tcW w:w="5220" w:type="dxa"/>
          </w:tcPr>
          <w:p w14:paraId="39569E30" w14:textId="479DADDE" w:rsidR="00851624" w:rsidRPr="0092509D" w:rsidRDefault="00851624" w:rsidP="0092509D">
            <w:pPr>
              <w:spacing w:before="120" w:after="120"/>
              <w:cnfStyle w:val="000000000000" w:firstRow="0" w:lastRow="0" w:firstColumn="0" w:lastColumn="0" w:oddVBand="0" w:evenVBand="0" w:oddHBand="0" w:evenHBand="0" w:firstRowFirstColumn="0" w:firstRowLastColumn="0" w:lastRowFirstColumn="0" w:lastRowLastColumn="0"/>
              <w:rPr>
                <w:rFonts w:cs="Calibri"/>
              </w:rPr>
            </w:pPr>
            <w:r w:rsidRPr="0092509D">
              <w:rPr>
                <w:rFonts w:cs="Calibri"/>
              </w:rPr>
              <w:t xml:space="preserve">Initiative is based on clearly defined need </w:t>
            </w:r>
            <w:r w:rsidR="009271A3">
              <w:rPr>
                <w:rFonts w:cs="Calibri"/>
              </w:rPr>
              <w:t>amongst primary producers and their</w:t>
            </w:r>
            <w:r w:rsidRPr="0092509D">
              <w:rPr>
                <w:rFonts w:cs="Calibri"/>
              </w:rPr>
              <w:t xml:space="preserve"> respective communit</w:t>
            </w:r>
            <w:r w:rsidR="009271A3">
              <w:rPr>
                <w:rFonts w:cs="Calibri"/>
              </w:rPr>
              <w:t>ies</w:t>
            </w:r>
            <w:r w:rsidRPr="0092509D">
              <w:rPr>
                <w:rFonts w:cs="Calibri"/>
              </w:rPr>
              <w:t xml:space="preserve">, and has identified intended outcomes and </w:t>
            </w:r>
            <w:r w:rsidR="00C25D39">
              <w:rPr>
                <w:rFonts w:cs="Calibri"/>
              </w:rPr>
              <w:t>impacts</w:t>
            </w:r>
            <w:r w:rsidR="00C25D39" w:rsidRPr="0092509D">
              <w:rPr>
                <w:rFonts w:cs="Calibri"/>
              </w:rPr>
              <w:t xml:space="preserve"> </w:t>
            </w:r>
            <w:r w:rsidRPr="0092509D">
              <w:rPr>
                <w:rFonts w:cs="Calibri"/>
              </w:rPr>
              <w:t xml:space="preserve">that </w:t>
            </w:r>
            <w:r w:rsidR="00C25D39">
              <w:rPr>
                <w:rFonts w:cs="Calibri"/>
              </w:rPr>
              <w:t>have</w:t>
            </w:r>
            <w:r w:rsidRPr="0092509D">
              <w:rPr>
                <w:rFonts w:cs="Calibri"/>
              </w:rPr>
              <w:t xml:space="preserve"> </w:t>
            </w:r>
            <w:r w:rsidR="00C25D39">
              <w:rPr>
                <w:rFonts w:cs="Calibri"/>
              </w:rPr>
              <w:t>addressed</w:t>
            </w:r>
            <w:r w:rsidRPr="0092509D">
              <w:rPr>
                <w:rFonts w:cs="Calibri"/>
              </w:rPr>
              <w:t xml:space="preserve"> this need. </w:t>
            </w:r>
          </w:p>
          <w:p w14:paraId="34B9E9AD" w14:textId="05E18FCF" w:rsidR="00851624" w:rsidRPr="0092509D" w:rsidRDefault="00851624" w:rsidP="0092509D">
            <w:pPr>
              <w:spacing w:before="120" w:after="120"/>
              <w:cnfStyle w:val="000000000000" w:firstRow="0" w:lastRow="0" w:firstColumn="0" w:lastColumn="0" w:oddVBand="0" w:evenVBand="0" w:oddHBand="0" w:evenHBand="0" w:firstRowFirstColumn="0" w:firstRowLastColumn="0" w:lastRowFirstColumn="0" w:lastRowLastColumn="0"/>
              <w:rPr>
                <w:rFonts w:cs="Calibri-BoldItalic"/>
                <w:bCs/>
                <w:iCs/>
              </w:rPr>
            </w:pPr>
            <w:r w:rsidRPr="0092509D">
              <w:rPr>
                <w:rFonts w:cs="Calibri"/>
              </w:rPr>
              <w:t>If appropriate, the description should include a reflection on the achievements of the initiative in terms of the intended goals.</w:t>
            </w:r>
          </w:p>
        </w:tc>
        <w:tc>
          <w:tcPr>
            <w:tcW w:w="985" w:type="dxa"/>
          </w:tcPr>
          <w:p w14:paraId="2A31A385" w14:textId="663B3D04" w:rsidR="00851624" w:rsidRPr="0092509D" w:rsidRDefault="00851624" w:rsidP="0092509D">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cs="Calibri"/>
              </w:rPr>
            </w:pPr>
            <w:r w:rsidRPr="0092509D">
              <w:rPr>
                <w:rFonts w:cs="Calibri"/>
              </w:rPr>
              <w:t>&lt;</w:t>
            </w:r>
            <w:r w:rsidR="00C25D39" w:rsidRPr="0092509D">
              <w:rPr>
                <w:rFonts w:cs="Calibri"/>
              </w:rPr>
              <w:t>2</w:t>
            </w:r>
            <w:r w:rsidR="00C25D39">
              <w:rPr>
                <w:rFonts w:cs="Calibri"/>
              </w:rPr>
              <w:t>5</w:t>
            </w:r>
          </w:p>
          <w:p w14:paraId="33F82D51" w14:textId="77777777" w:rsidR="00851624" w:rsidRPr="0092509D" w:rsidRDefault="00851624" w:rsidP="0092509D">
            <w:pPr>
              <w:spacing w:before="120" w:after="120"/>
              <w:jc w:val="center"/>
              <w:cnfStyle w:val="000000000000" w:firstRow="0" w:lastRow="0" w:firstColumn="0" w:lastColumn="0" w:oddVBand="0" w:evenVBand="0" w:oddHBand="0" w:evenHBand="0" w:firstRowFirstColumn="0" w:firstRowLastColumn="0" w:lastRowFirstColumn="0" w:lastRowLastColumn="0"/>
              <w:rPr>
                <w:rFonts w:cs="Calibri-BoldItalic"/>
                <w:b/>
                <w:bCs/>
                <w:iCs/>
              </w:rPr>
            </w:pPr>
          </w:p>
        </w:tc>
      </w:tr>
      <w:tr w:rsidR="00851624" w14:paraId="40B838CD" w14:textId="52EF43AF" w:rsidTr="00925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3439F7AB" w14:textId="51AF0D81" w:rsidR="00851624" w:rsidRPr="0092509D" w:rsidRDefault="00851624" w:rsidP="0092509D">
            <w:pPr>
              <w:rPr>
                <w:rFonts w:ascii="Calibri-BoldItalic" w:hAnsi="Calibri-BoldItalic" w:cs="Calibri-BoldItalic"/>
                <w:bCs w:val="0"/>
                <w:iCs/>
                <w:sz w:val="24"/>
              </w:rPr>
            </w:pPr>
            <w:r w:rsidRPr="0092509D">
              <w:rPr>
                <w:rFonts w:ascii="Calibri-BoldItalic" w:hAnsi="Calibri-BoldItalic" w:cs="Calibri-BoldItalic"/>
                <w:bCs w:val="0"/>
                <w:iCs/>
                <w:sz w:val="24"/>
              </w:rPr>
              <w:t>3. Knowledge Transfer</w:t>
            </w:r>
            <w:r w:rsidR="0092509D" w:rsidRPr="0092509D">
              <w:rPr>
                <w:rFonts w:ascii="Calibri-BoldItalic" w:hAnsi="Calibri-BoldItalic" w:cs="Calibri-BoldItalic"/>
                <w:bCs w:val="0"/>
                <w:iCs/>
                <w:sz w:val="24"/>
              </w:rPr>
              <w:t>/</w:t>
            </w:r>
            <w:r w:rsidRPr="0092509D">
              <w:rPr>
                <w:rFonts w:ascii="Calibri-BoldItalic" w:hAnsi="Calibri-BoldItalic" w:cs="Calibri-BoldItalic"/>
                <w:bCs w:val="0"/>
                <w:iCs/>
                <w:sz w:val="24"/>
              </w:rPr>
              <w:t xml:space="preserve"> Destigmatiz</w:t>
            </w:r>
            <w:r w:rsidR="0092509D" w:rsidRPr="0092509D">
              <w:rPr>
                <w:rFonts w:ascii="Calibri-BoldItalic" w:hAnsi="Calibri-BoldItalic" w:cs="Calibri-BoldItalic"/>
                <w:bCs w:val="0"/>
                <w:iCs/>
                <w:sz w:val="24"/>
              </w:rPr>
              <w:t>ing</w:t>
            </w:r>
          </w:p>
        </w:tc>
        <w:tc>
          <w:tcPr>
            <w:tcW w:w="5220" w:type="dxa"/>
          </w:tcPr>
          <w:p w14:paraId="2EDF1F15" w14:textId="45E8E035" w:rsidR="009271A3" w:rsidRPr="0092509D" w:rsidRDefault="0092509D" w:rsidP="0092509D">
            <w:pPr>
              <w:spacing w:before="120" w:after="120"/>
              <w:cnfStyle w:val="000000100000" w:firstRow="0" w:lastRow="0" w:firstColumn="0" w:lastColumn="0" w:oddVBand="0" w:evenVBand="0" w:oddHBand="1" w:evenHBand="0" w:firstRowFirstColumn="0" w:firstRowLastColumn="0" w:lastRowFirstColumn="0" w:lastRowLastColumn="0"/>
              <w:rPr>
                <w:rFonts w:cs="Calibri-BoldItalic"/>
                <w:bCs/>
                <w:iCs/>
              </w:rPr>
            </w:pPr>
            <w:r w:rsidRPr="0092509D">
              <w:rPr>
                <w:rFonts w:cs="Calibri-BoldItalic"/>
                <w:bCs/>
                <w:iCs/>
              </w:rPr>
              <w:t xml:space="preserve">Knowledge exchange and/or destigmatizing of mental health issues is identified as a key component of the initiative (doesn’t need to be referred to as such). </w:t>
            </w:r>
          </w:p>
        </w:tc>
        <w:tc>
          <w:tcPr>
            <w:tcW w:w="985" w:type="dxa"/>
          </w:tcPr>
          <w:p w14:paraId="40046073" w14:textId="0944CED0" w:rsidR="00851624" w:rsidRPr="0092509D" w:rsidRDefault="0092509D" w:rsidP="0092509D">
            <w:pPr>
              <w:spacing w:before="120" w:after="120"/>
              <w:jc w:val="center"/>
              <w:cnfStyle w:val="000000100000" w:firstRow="0" w:lastRow="0" w:firstColumn="0" w:lastColumn="0" w:oddVBand="0" w:evenVBand="0" w:oddHBand="1" w:evenHBand="0" w:firstRowFirstColumn="0" w:firstRowLastColumn="0" w:lastRowFirstColumn="0" w:lastRowLastColumn="0"/>
              <w:rPr>
                <w:rFonts w:cs="Calibri-BoldItalic"/>
                <w:b/>
                <w:bCs/>
                <w:iCs/>
              </w:rPr>
            </w:pPr>
            <w:r w:rsidRPr="0092509D">
              <w:rPr>
                <w:rFonts w:cs="Calibri"/>
              </w:rPr>
              <w:t>&lt;</w:t>
            </w:r>
            <w:r w:rsidR="009271A3">
              <w:rPr>
                <w:rFonts w:cs="Calibri"/>
              </w:rPr>
              <w:t>20</w:t>
            </w:r>
          </w:p>
        </w:tc>
      </w:tr>
      <w:tr w:rsidR="00851624" w14:paraId="4D27DDC9" w14:textId="02F4E762" w:rsidTr="0092509D">
        <w:tc>
          <w:tcPr>
            <w:cnfStyle w:val="001000000000" w:firstRow="0" w:lastRow="0" w:firstColumn="1" w:lastColumn="0" w:oddVBand="0" w:evenVBand="0" w:oddHBand="0" w:evenHBand="0" w:firstRowFirstColumn="0" w:firstRowLastColumn="0" w:lastRowFirstColumn="0" w:lastRowLastColumn="0"/>
            <w:tcW w:w="3145" w:type="dxa"/>
            <w:vAlign w:val="center"/>
          </w:tcPr>
          <w:p w14:paraId="7667F7F2" w14:textId="39430BF3" w:rsidR="00851624" w:rsidRPr="0092509D" w:rsidRDefault="0092509D" w:rsidP="0092509D">
            <w:pPr>
              <w:rPr>
                <w:rFonts w:ascii="Calibri-BoldItalic" w:hAnsi="Calibri-BoldItalic" w:cs="Calibri-BoldItalic"/>
                <w:bCs w:val="0"/>
                <w:iCs/>
                <w:sz w:val="24"/>
              </w:rPr>
            </w:pPr>
            <w:r w:rsidRPr="0092509D">
              <w:rPr>
                <w:rFonts w:ascii="Calibri-BoldItalic" w:hAnsi="Calibri-BoldItalic" w:cs="Calibri-BoldItalic"/>
                <w:bCs w:val="0"/>
                <w:iCs/>
                <w:sz w:val="24"/>
              </w:rPr>
              <w:t>4. Replicability</w:t>
            </w:r>
            <w:r w:rsidR="00C25D39">
              <w:rPr>
                <w:rFonts w:ascii="Calibri-BoldItalic" w:hAnsi="Calibri-BoldItalic" w:cs="Calibri-BoldItalic"/>
                <w:bCs w:val="0"/>
                <w:iCs/>
                <w:sz w:val="24"/>
              </w:rPr>
              <w:t xml:space="preserve">, </w:t>
            </w:r>
            <w:r w:rsidRPr="0092509D">
              <w:rPr>
                <w:rFonts w:ascii="Calibri-BoldItalic" w:hAnsi="Calibri-BoldItalic" w:cs="Calibri-BoldItalic"/>
                <w:bCs w:val="0"/>
                <w:iCs/>
                <w:sz w:val="24"/>
              </w:rPr>
              <w:t>Scalability</w:t>
            </w:r>
            <w:r w:rsidR="00C25D39">
              <w:rPr>
                <w:rFonts w:ascii="Calibri-BoldItalic" w:hAnsi="Calibri-BoldItalic" w:cs="Calibri-BoldItalic"/>
                <w:bCs w:val="0"/>
                <w:iCs/>
                <w:sz w:val="24"/>
              </w:rPr>
              <w:t xml:space="preserve"> &amp; Longevity</w:t>
            </w:r>
          </w:p>
        </w:tc>
        <w:tc>
          <w:tcPr>
            <w:tcW w:w="5220" w:type="dxa"/>
          </w:tcPr>
          <w:p w14:paraId="72729654" w14:textId="6B0BA73D" w:rsidR="00F95B03" w:rsidRDefault="00F95B03" w:rsidP="00F95B03">
            <w:pPr>
              <w:spacing w:before="120" w:after="120"/>
              <w:cnfStyle w:val="000000000000" w:firstRow="0" w:lastRow="0" w:firstColumn="0" w:lastColumn="0" w:oddVBand="0" w:evenVBand="0" w:oddHBand="0" w:evenHBand="0" w:firstRowFirstColumn="0" w:firstRowLastColumn="0" w:lastRowFirstColumn="0" w:lastRowLastColumn="0"/>
              <w:rPr>
                <w:rFonts w:cs="Calibri-BoldItalic"/>
                <w:bCs/>
                <w:iCs/>
              </w:rPr>
            </w:pPr>
            <w:r>
              <w:rPr>
                <w:rFonts w:cs="Calibri-BoldItalic"/>
                <w:bCs/>
                <w:iCs/>
              </w:rPr>
              <w:t xml:space="preserve">Initiative has adopted impactful </w:t>
            </w:r>
            <w:r w:rsidR="007B74A8">
              <w:rPr>
                <w:rFonts w:cs="Calibri-BoldItalic"/>
                <w:bCs/>
                <w:iCs/>
              </w:rPr>
              <w:t>practices</w:t>
            </w:r>
            <w:r>
              <w:rPr>
                <w:rFonts w:cs="Calibri-BoldItalic"/>
                <w:bCs/>
                <w:iCs/>
              </w:rPr>
              <w:t xml:space="preserve"> previously employed in other sectors or domains.</w:t>
            </w:r>
          </w:p>
          <w:p w14:paraId="76D8680D" w14:textId="671CADF6" w:rsidR="00F95B03" w:rsidRDefault="0092509D" w:rsidP="0092509D">
            <w:pPr>
              <w:spacing w:before="120" w:after="120"/>
              <w:cnfStyle w:val="000000000000" w:firstRow="0" w:lastRow="0" w:firstColumn="0" w:lastColumn="0" w:oddVBand="0" w:evenVBand="0" w:oddHBand="0" w:evenHBand="0" w:firstRowFirstColumn="0" w:firstRowLastColumn="0" w:lastRowFirstColumn="0" w:lastRowLastColumn="0"/>
              <w:rPr>
                <w:rFonts w:cs="Calibri-BoldItalic"/>
                <w:bCs/>
                <w:iCs/>
              </w:rPr>
            </w:pPr>
            <w:r w:rsidRPr="0092509D">
              <w:rPr>
                <w:rFonts w:cs="Calibri-BoldItalic"/>
                <w:bCs/>
                <w:iCs/>
              </w:rPr>
              <w:t>Initiative is most likely replicable and/or scalable, or has been replicated or scaled up.</w:t>
            </w:r>
          </w:p>
          <w:p w14:paraId="0D9FF933" w14:textId="3FC16E7F" w:rsidR="00C25D39" w:rsidRPr="0092509D" w:rsidRDefault="00C25D39" w:rsidP="00B6014C">
            <w:pPr>
              <w:pStyle w:val="CommentText"/>
              <w:spacing w:after="120"/>
              <w:cnfStyle w:val="000000000000" w:firstRow="0" w:lastRow="0" w:firstColumn="0" w:lastColumn="0" w:oddVBand="0" w:evenVBand="0" w:oddHBand="0" w:evenHBand="0" w:firstRowFirstColumn="0" w:firstRowLastColumn="0" w:lastRowFirstColumn="0" w:lastRowLastColumn="0"/>
            </w:pPr>
            <w:r w:rsidRPr="007C0F08">
              <w:rPr>
                <w:color w:val="auto"/>
                <w:sz w:val="22"/>
                <w:szCs w:val="22"/>
              </w:rPr>
              <w:t>Initiative will be monitored, maintained, and enhanced.</w:t>
            </w:r>
          </w:p>
        </w:tc>
        <w:tc>
          <w:tcPr>
            <w:tcW w:w="985" w:type="dxa"/>
          </w:tcPr>
          <w:p w14:paraId="4C6D6046" w14:textId="0723F398" w:rsidR="0092509D" w:rsidRPr="0092509D" w:rsidRDefault="0092509D" w:rsidP="0092509D">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cs="Calibri"/>
              </w:rPr>
            </w:pPr>
            <w:r w:rsidRPr="0092509D">
              <w:rPr>
                <w:rFonts w:cs="Calibri"/>
              </w:rPr>
              <w:t>&lt;</w:t>
            </w:r>
            <w:r w:rsidR="0073107B">
              <w:rPr>
                <w:rFonts w:cs="Calibri"/>
              </w:rPr>
              <w:t>20</w:t>
            </w:r>
          </w:p>
          <w:p w14:paraId="085D58A5" w14:textId="77777777" w:rsidR="00851624" w:rsidRPr="0092509D" w:rsidRDefault="00851624" w:rsidP="0092509D">
            <w:pPr>
              <w:spacing w:before="120" w:after="120"/>
              <w:jc w:val="center"/>
              <w:cnfStyle w:val="000000000000" w:firstRow="0" w:lastRow="0" w:firstColumn="0" w:lastColumn="0" w:oddVBand="0" w:evenVBand="0" w:oddHBand="0" w:evenHBand="0" w:firstRowFirstColumn="0" w:firstRowLastColumn="0" w:lastRowFirstColumn="0" w:lastRowLastColumn="0"/>
              <w:rPr>
                <w:rFonts w:cs="Calibri-BoldItalic"/>
                <w:b/>
                <w:bCs/>
                <w:iCs/>
              </w:rPr>
            </w:pPr>
          </w:p>
        </w:tc>
      </w:tr>
      <w:tr w:rsidR="00807AD3" w14:paraId="192E2CEA" w14:textId="77777777" w:rsidTr="00925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75F9A4BE" w14:textId="2FBEA4B5" w:rsidR="00807AD3" w:rsidRPr="0092509D" w:rsidRDefault="0073107B" w:rsidP="0092509D">
            <w:pPr>
              <w:rPr>
                <w:rFonts w:ascii="Calibri-BoldItalic" w:hAnsi="Calibri-BoldItalic" w:cs="Calibri-BoldItalic"/>
                <w:iCs/>
                <w:sz w:val="24"/>
              </w:rPr>
            </w:pPr>
            <w:r>
              <w:rPr>
                <w:rFonts w:ascii="Calibri-BoldItalic" w:hAnsi="Calibri-BoldItalic" w:cs="Calibri-BoldItalic"/>
                <w:iCs/>
                <w:sz w:val="24"/>
              </w:rPr>
              <w:t>5</w:t>
            </w:r>
            <w:r w:rsidR="00807AD3">
              <w:rPr>
                <w:rFonts w:ascii="Calibri-BoldItalic" w:hAnsi="Calibri-BoldItalic" w:cs="Calibri-BoldItalic"/>
                <w:iCs/>
                <w:sz w:val="24"/>
              </w:rPr>
              <w:t>. Producer Involvement</w:t>
            </w:r>
          </w:p>
        </w:tc>
        <w:tc>
          <w:tcPr>
            <w:tcW w:w="5220" w:type="dxa"/>
          </w:tcPr>
          <w:p w14:paraId="0532103A" w14:textId="2EFCD26F" w:rsidR="00807AD3" w:rsidRPr="0092509D" w:rsidRDefault="00807AD3" w:rsidP="0092509D">
            <w:pPr>
              <w:spacing w:before="120" w:after="120"/>
              <w:cnfStyle w:val="000000100000" w:firstRow="0" w:lastRow="0" w:firstColumn="0" w:lastColumn="0" w:oddVBand="0" w:evenVBand="0" w:oddHBand="1" w:evenHBand="0" w:firstRowFirstColumn="0" w:firstRowLastColumn="0" w:lastRowFirstColumn="0" w:lastRowLastColumn="0"/>
              <w:rPr>
                <w:rFonts w:cs="Calibri"/>
              </w:rPr>
            </w:pPr>
            <w:r>
              <w:rPr>
                <w:rFonts w:cs="Calibri"/>
              </w:rPr>
              <w:t>Initiative is producer-led and/or can demonstrate direct producer engagement in its governance and oversight.</w:t>
            </w:r>
          </w:p>
        </w:tc>
        <w:tc>
          <w:tcPr>
            <w:tcW w:w="985" w:type="dxa"/>
          </w:tcPr>
          <w:p w14:paraId="6CA536A4" w14:textId="50CCCCAE" w:rsidR="00807AD3" w:rsidRPr="0092509D" w:rsidRDefault="00807AD3" w:rsidP="0092509D">
            <w:pPr>
              <w:spacing w:before="120" w:after="12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&lt;5</w:t>
            </w:r>
          </w:p>
        </w:tc>
      </w:tr>
      <w:tr w:rsidR="0073107B" w14:paraId="73138FD9" w14:textId="77777777" w:rsidTr="0092509D">
        <w:tc>
          <w:tcPr>
            <w:cnfStyle w:val="001000000000" w:firstRow="0" w:lastRow="0" w:firstColumn="1" w:lastColumn="0" w:oddVBand="0" w:evenVBand="0" w:oddHBand="0" w:evenHBand="0" w:firstRowFirstColumn="0" w:firstRowLastColumn="0" w:lastRowFirstColumn="0" w:lastRowLastColumn="0"/>
            <w:tcW w:w="3145" w:type="dxa"/>
            <w:vAlign w:val="center"/>
          </w:tcPr>
          <w:p w14:paraId="1B948FC3" w14:textId="0F700071" w:rsidR="0073107B" w:rsidDel="0073107B" w:rsidRDefault="0073107B" w:rsidP="0092509D">
            <w:pPr>
              <w:rPr>
                <w:rFonts w:ascii="Calibri-BoldItalic" w:hAnsi="Calibri-BoldItalic" w:cs="Calibri-BoldItalic"/>
                <w:iCs/>
                <w:sz w:val="24"/>
              </w:rPr>
            </w:pPr>
            <w:r>
              <w:rPr>
                <w:rFonts w:ascii="Calibri-BoldItalic" w:hAnsi="Calibri-BoldItalic" w:cs="Calibri-BoldItalic"/>
                <w:iCs/>
                <w:sz w:val="24"/>
              </w:rPr>
              <w:t>6. Award’s Impact</w:t>
            </w:r>
          </w:p>
        </w:tc>
        <w:tc>
          <w:tcPr>
            <w:tcW w:w="5220" w:type="dxa"/>
          </w:tcPr>
          <w:p w14:paraId="2D5BEAB5" w14:textId="53477DD9" w:rsidR="0073107B" w:rsidRDefault="0073107B" w:rsidP="0092509D">
            <w:pPr>
              <w:spacing w:before="120" w:after="120"/>
              <w:cnfStyle w:val="000000000000" w:firstRow="0" w:lastRow="0" w:firstColumn="0" w:lastColumn="0" w:oddVBand="0" w:evenVBand="0" w:oddHBand="0" w:evenHBand="0" w:firstRowFirstColumn="0" w:firstRowLastColumn="0" w:lastRowFirstColumn="0" w:lastRowLastColumn="0"/>
              <w:rPr>
                <w:rFonts w:cs="Calibri"/>
              </w:rPr>
            </w:pPr>
            <w:r>
              <w:rPr>
                <w:rFonts w:cs="Calibri"/>
              </w:rPr>
              <w:t>Impact of the prospective donation on agricultural mental health is clearly articulated.</w:t>
            </w:r>
          </w:p>
        </w:tc>
        <w:tc>
          <w:tcPr>
            <w:tcW w:w="985" w:type="dxa"/>
          </w:tcPr>
          <w:p w14:paraId="3A47E471" w14:textId="45C70BE1" w:rsidR="0073107B" w:rsidRDefault="0073107B" w:rsidP="0092509D">
            <w:pPr>
              <w:spacing w:before="120" w:after="1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&lt;5</w:t>
            </w:r>
          </w:p>
        </w:tc>
      </w:tr>
      <w:tr w:rsidR="0092509D" w14:paraId="0AF3FFF2" w14:textId="03F5AAE6" w:rsidTr="0092509D">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365" w:type="dxa"/>
            <w:gridSpan w:val="2"/>
          </w:tcPr>
          <w:p w14:paraId="76EA05F8" w14:textId="1FA4E1DB" w:rsidR="0092509D" w:rsidRPr="00AB0749" w:rsidRDefault="0092509D" w:rsidP="0092509D">
            <w:pPr>
              <w:jc w:val="right"/>
              <w:rPr>
                <w:rFonts w:ascii="Calibri-BoldItalic" w:hAnsi="Calibri-BoldItalic" w:cs="Calibri-BoldItalic"/>
                <w:bCs w:val="0"/>
                <w:iCs/>
                <w:sz w:val="24"/>
              </w:rPr>
            </w:pPr>
            <w:r w:rsidRPr="00AB0749">
              <w:rPr>
                <w:rFonts w:ascii="Calibri-BoldItalic" w:hAnsi="Calibri-BoldItalic" w:cs="Calibri-BoldItalic"/>
                <w:bCs w:val="0"/>
                <w:iCs/>
                <w:sz w:val="24"/>
              </w:rPr>
              <w:t>Total</w:t>
            </w:r>
          </w:p>
        </w:tc>
        <w:tc>
          <w:tcPr>
            <w:tcW w:w="985" w:type="dxa"/>
          </w:tcPr>
          <w:p w14:paraId="02A9F59D" w14:textId="77777777" w:rsidR="0092509D" w:rsidRDefault="0092509D" w:rsidP="0092509D">
            <w:pPr>
              <w:jc w:val="center"/>
              <w:cnfStyle w:val="000000100000" w:firstRow="0" w:lastRow="0" w:firstColumn="0" w:lastColumn="0" w:oddVBand="0" w:evenVBand="0" w:oddHBand="1" w:evenHBand="0" w:firstRowFirstColumn="0" w:firstRowLastColumn="0" w:lastRowFirstColumn="0" w:lastRowLastColumn="0"/>
              <w:rPr>
                <w:rFonts w:ascii="Calibri-BoldItalic" w:hAnsi="Calibri-BoldItalic" w:cs="Calibri-BoldItalic"/>
                <w:b/>
                <w:bCs/>
                <w:iCs/>
                <w:sz w:val="24"/>
              </w:rPr>
            </w:pPr>
          </w:p>
        </w:tc>
      </w:tr>
    </w:tbl>
    <w:p w14:paraId="2D300212" w14:textId="3377DFAC" w:rsidR="00851624" w:rsidRDefault="0092509D" w:rsidP="002E1517">
      <w:pPr>
        <w:rPr>
          <w:rFonts w:ascii="Calibri-BoldItalic" w:hAnsi="Calibri-BoldItalic" w:cs="Calibri-BoldItalic"/>
          <w:b/>
          <w:bCs/>
          <w:iCs/>
          <w:sz w:val="24"/>
        </w:rPr>
      </w:pPr>
      <w:r w:rsidRPr="003517EE">
        <w:rPr>
          <w:rFonts w:ascii="Calibri" w:hAnsi="Calibri" w:cs="Calibri"/>
        </w:rPr>
        <w:t xml:space="preserve">Maximum of 80 points awarded in the Principle </w:t>
      </w:r>
      <w:r w:rsidR="002F5426">
        <w:rPr>
          <w:rFonts w:ascii="Calibri" w:hAnsi="Calibri" w:cs="Calibri"/>
        </w:rPr>
        <w:t>Evaluation</w:t>
      </w:r>
      <w:r w:rsidRPr="003517EE">
        <w:rPr>
          <w:rFonts w:ascii="Calibri" w:hAnsi="Calibri" w:cs="Calibri"/>
        </w:rPr>
        <w:t xml:space="preserve"> Criteria section</w:t>
      </w:r>
    </w:p>
    <w:p w14:paraId="235C5F1C" w14:textId="77777777" w:rsidR="00851624" w:rsidRDefault="00851624" w:rsidP="002E1517">
      <w:pPr>
        <w:rPr>
          <w:rFonts w:ascii="Calibri-BoldItalic" w:hAnsi="Calibri-BoldItalic" w:cs="Calibri-BoldItalic"/>
          <w:b/>
          <w:bCs/>
          <w:iCs/>
          <w:sz w:val="24"/>
        </w:rPr>
      </w:pPr>
    </w:p>
    <w:p w14:paraId="7722867D" w14:textId="77777777" w:rsidR="00851624" w:rsidRDefault="00851624">
      <w:pPr>
        <w:rPr>
          <w:rFonts w:ascii="Calibri-BoldItalic" w:hAnsi="Calibri-BoldItalic" w:cs="Calibri-BoldItalic"/>
          <w:b/>
          <w:bCs/>
          <w:iCs/>
          <w:sz w:val="24"/>
        </w:rPr>
      </w:pPr>
      <w:r>
        <w:rPr>
          <w:rFonts w:ascii="Calibri-BoldItalic" w:hAnsi="Calibri-BoldItalic" w:cs="Calibri-BoldItalic"/>
          <w:b/>
          <w:bCs/>
          <w:iCs/>
          <w:sz w:val="24"/>
        </w:rPr>
        <w:br w:type="page"/>
      </w:r>
    </w:p>
    <w:p w14:paraId="7D3CB2B5" w14:textId="5082700A" w:rsidR="003517EE" w:rsidRPr="0077452A" w:rsidRDefault="00851624" w:rsidP="00807AD3">
      <w:pPr>
        <w:spacing w:after="60"/>
        <w:rPr>
          <w:rFonts w:cs="Calibri-BoldItalic"/>
          <w:b/>
          <w:bCs/>
          <w:iCs/>
          <w:sz w:val="28"/>
        </w:rPr>
      </w:pPr>
      <w:r w:rsidRPr="0077452A">
        <w:rPr>
          <w:rFonts w:cs="Calibri-BoldItalic"/>
          <w:b/>
          <w:bCs/>
          <w:iCs/>
          <w:sz w:val="28"/>
        </w:rPr>
        <w:lastRenderedPageBreak/>
        <w:t xml:space="preserve">Category-Specific </w:t>
      </w:r>
      <w:r w:rsidR="002F5426">
        <w:rPr>
          <w:rFonts w:cs="Calibri-BoldItalic"/>
          <w:b/>
          <w:bCs/>
          <w:iCs/>
          <w:sz w:val="28"/>
        </w:rPr>
        <w:t>Evaluation</w:t>
      </w:r>
      <w:r w:rsidR="002F5426" w:rsidRPr="0077452A">
        <w:rPr>
          <w:rFonts w:cs="Calibri-BoldItalic"/>
          <w:b/>
          <w:bCs/>
          <w:iCs/>
          <w:sz w:val="28"/>
        </w:rPr>
        <w:t xml:space="preserve"> </w:t>
      </w:r>
      <w:r w:rsidRPr="0077452A">
        <w:rPr>
          <w:rFonts w:cs="Calibri-BoldItalic"/>
          <w:b/>
          <w:bCs/>
          <w:iCs/>
          <w:sz w:val="28"/>
        </w:rPr>
        <w:t>Criteria</w:t>
      </w:r>
      <w:r w:rsidR="007E6589" w:rsidRPr="0077452A">
        <w:rPr>
          <w:rFonts w:cs="Calibri-BoldItalic"/>
          <w:b/>
          <w:bCs/>
          <w:iCs/>
          <w:sz w:val="28"/>
        </w:rPr>
        <w:t>:</w:t>
      </w:r>
    </w:p>
    <w:p w14:paraId="6F651605" w14:textId="69D4450D" w:rsidR="007E6589" w:rsidRPr="00765CBD" w:rsidRDefault="007E6589" w:rsidP="00765CBD">
      <w:pPr>
        <w:rPr>
          <w:rFonts w:ascii="Calibri-BoldItalic" w:hAnsi="Calibri-BoldItalic" w:cs="Calibri-BoldItalic"/>
          <w:bCs/>
          <w:iCs/>
          <w:sz w:val="24"/>
        </w:rPr>
      </w:pPr>
      <w:r>
        <w:rPr>
          <w:rFonts w:ascii="Calibri-BoldItalic" w:hAnsi="Calibri-BoldItalic" w:cs="Calibri-BoldItalic"/>
          <w:bCs/>
          <w:iCs/>
          <w:sz w:val="24"/>
        </w:rPr>
        <w:t xml:space="preserve">All initiatives must demonstrate a clear linkage and focus on an agricultural community or industry segment within their </w:t>
      </w:r>
      <w:r w:rsidR="007A78E0">
        <w:rPr>
          <w:rFonts w:ascii="Calibri-BoldItalic" w:hAnsi="Calibri-BoldItalic" w:cs="Calibri-BoldItalic"/>
          <w:bCs/>
          <w:iCs/>
          <w:sz w:val="24"/>
        </w:rPr>
        <w:t>nomination</w:t>
      </w:r>
      <w:r>
        <w:rPr>
          <w:rFonts w:ascii="Calibri-BoldItalic" w:hAnsi="Calibri-BoldItalic" w:cs="Calibri-BoldItalic"/>
          <w:bCs/>
          <w:iCs/>
          <w:sz w:val="24"/>
        </w:rPr>
        <w:t xml:space="preserve"> form.</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14"/>
        <w:gridCol w:w="2421"/>
        <w:gridCol w:w="4269"/>
        <w:gridCol w:w="946"/>
      </w:tblGrid>
      <w:tr w:rsidR="00851624" w14:paraId="57E2F203" w14:textId="5F7E4402" w:rsidTr="0092509D">
        <w:tc>
          <w:tcPr>
            <w:tcW w:w="1714" w:type="dxa"/>
          </w:tcPr>
          <w:p w14:paraId="608C945D" w14:textId="50DCF058" w:rsidR="00851624" w:rsidRDefault="00851624" w:rsidP="0092509D">
            <w:pPr>
              <w:jc w:val="center"/>
              <w:rPr>
                <w:rFonts w:ascii="Calibri-BoldItalic" w:hAnsi="Calibri-BoldItalic" w:cs="Calibri-BoldItalic"/>
                <w:b/>
                <w:bCs/>
                <w:iCs/>
                <w:sz w:val="24"/>
              </w:rPr>
            </w:pPr>
            <w:bookmarkStart w:id="0" w:name="_Hlk523929393"/>
            <w:r>
              <w:rPr>
                <w:rFonts w:ascii="Calibri-BoldItalic" w:hAnsi="Calibri-BoldItalic" w:cs="Calibri-BoldItalic"/>
                <w:b/>
                <w:bCs/>
                <w:iCs/>
                <w:sz w:val="24"/>
              </w:rPr>
              <w:t>Category</w:t>
            </w:r>
          </w:p>
        </w:tc>
        <w:tc>
          <w:tcPr>
            <w:tcW w:w="2421" w:type="dxa"/>
          </w:tcPr>
          <w:p w14:paraId="0C24ACCC" w14:textId="6B42EDA3" w:rsidR="00851624" w:rsidRDefault="00851624" w:rsidP="0092509D">
            <w:pPr>
              <w:jc w:val="center"/>
              <w:rPr>
                <w:rFonts w:ascii="Calibri-BoldItalic" w:hAnsi="Calibri-BoldItalic" w:cs="Calibri-BoldItalic"/>
                <w:b/>
                <w:bCs/>
                <w:iCs/>
                <w:sz w:val="24"/>
              </w:rPr>
            </w:pPr>
            <w:r>
              <w:rPr>
                <w:rFonts w:ascii="Calibri-BoldItalic" w:hAnsi="Calibri-BoldItalic" w:cs="Calibri-BoldItalic"/>
                <w:b/>
                <w:bCs/>
                <w:iCs/>
                <w:sz w:val="24"/>
              </w:rPr>
              <w:t>Description</w:t>
            </w:r>
          </w:p>
        </w:tc>
        <w:tc>
          <w:tcPr>
            <w:tcW w:w="4269" w:type="dxa"/>
          </w:tcPr>
          <w:p w14:paraId="7605CEFF" w14:textId="4FA31790" w:rsidR="00851624" w:rsidRDefault="00851624" w:rsidP="0092509D">
            <w:pPr>
              <w:jc w:val="center"/>
              <w:rPr>
                <w:rFonts w:ascii="Calibri-BoldItalic" w:hAnsi="Calibri-BoldItalic" w:cs="Calibri-BoldItalic"/>
                <w:b/>
                <w:bCs/>
                <w:iCs/>
                <w:sz w:val="24"/>
              </w:rPr>
            </w:pPr>
            <w:r>
              <w:rPr>
                <w:rFonts w:ascii="Calibri-BoldItalic" w:hAnsi="Calibri-BoldItalic" w:cs="Calibri-BoldItalic"/>
                <w:b/>
                <w:bCs/>
                <w:iCs/>
                <w:sz w:val="24"/>
              </w:rPr>
              <w:t>Criteria</w:t>
            </w:r>
          </w:p>
        </w:tc>
        <w:tc>
          <w:tcPr>
            <w:tcW w:w="946" w:type="dxa"/>
          </w:tcPr>
          <w:p w14:paraId="0A03E0CA" w14:textId="44D4CFFD" w:rsidR="00851624" w:rsidRDefault="00851624" w:rsidP="0092509D">
            <w:pPr>
              <w:jc w:val="center"/>
              <w:rPr>
                <w:rFonts w:ascii="Calibri-BoldItalic" w:hAnsi="Calibri-BoldItalic" w:cs="Calibri-BoldItalic"/>
                <w:b/>
                <w:bCs/>
                <w:iCs/>
                <w:sz w:val="24"/>
              </w:rPr>
            </w:pPr>
            <w:r>
              <w:rPr>
                <w:rFonts w:ascii="Calibri-BoldItalic" w:hAnsi="Calibri-BoldItalic" w:cs="Calibri-BoldItalic"/>
                <w:b/>
                <w:bCs/>
                <w:iCs/>
                <w:sz w:val="24"/>
              </w:rPr>
              <w:t>Scoring</w:t>
            </w:r>
          </w:p>
        </w:tc>
      </w:tr>
      <w:tr w:rsidR="00851624" w14:paraId="279B6D54" w14:textId="51D3539D" w:rsidTr="0092509D">
        <w:trPr>
          <w:trHeight w:val="1748"/>
        </w:trPr>
        <w:tc>
          <w:tcPr>
            <w:tcW w:w="1714" w:type="dxa"/>
            <w:vMerge w:val="restart"/>
            <w:shd w:val="clear" w:color="auto" w:fill="E7E6E6" w:themeFill="background2"/>
            <w:vAlign w:val="center"/>
          </w:tcPr>
          <w:p w14:paraId="386B5427" w14:textId="1AD05C4F" w:rsidR="00851624" w:rsidRPr="00765CBD" w:rsidRDefault="00851624" w:rsidP="00765CBD">
            <w:pPr>
              <w:spacing w:before="120" w:after="120"/>
              <w:rPr>
                <w:rFonts w:cs="Calibri-BoldItalic"/>
                <w:b/>
                <w:bCs/>
                <w:iCs/>
              </w:rPr>
            </w:pPr>
            <w:r w:rsidRPr="00765CBD">
              <w:rPr>
                <w:rFonts w:cs="Calibri-BoldItalic"/>
                <w:b/>
                <w:bCs/>
                <w:iCs/>
              </w:rPr>
              <w:t>Community Capacity Building</w:t>
            </w:r>
          </w:p>
        </w:tc>
        <w:tc>
          <w:tcPr>
            <w:tcW w:w="2421" w:type="dxa"/>
            <w:vMerge w:val="restart"/>
            <w:shd w:val="clear" w:color="auto" w:fill="E7E6E6" w:themeFill="background2"/>
            <w:vAlign w:val="center"/>
          </w:tcPr>
          <w:p w14:paraId="088827B3" w14:textId="68576423" w:rsidR="00851624" w:rsidRPr="00765CBD" w:rsidRDefault="00851624" w:rsidP="00765CBD">
            <w:pPr>
              <w:spacing w:before="120" w:after="120"/>
              <w:rPr>
                <w:rFonts w:cs="Calibri-BoldItalic"/>
                <w:bCs/>
                <w:iCs/>
              </w:rPr>
            </w:pPr>
            <w:r w:rsidRPr="00765CBD">
              <w:rPr>
                <w:rFonts w:cs="Calibri-BoldItalic"/>
                <w:bCs/>
                <w:iCs/>
              </w:rPr>
              <w:t>Initiatives that strengthen the capacity of community‐based mental health services</w:t>
            </w:r>
            <w:r w:rsidR="00011691">
              <w:rPr>
                <w:rFonts w:cs="Calibri-BoldItalic"/>
                <w:bCs/>
                <w:iCs/>
              </w:rPr>
              <w:t>. That help</w:t>
            </w:r>
            <w:r w:rsidRPr="00765CBD">
              <w:rPr>
                <w:rFonts w:cs="Calibri-BoldItalic"/>
                <w:bCs/>
                <w:iCs/>
              </w:rPr>
              <w:t xml:space="preserve"> to meet </w:t>
            </w:r>
            <w:r w:rsidR="0073107B">
              <w:rPr>
                <w:rFonts w:cs="Calibri-BoldItalic"/>
                <w:bCs/>
                <w:iCs/>
              </w:rPr>
              <w:t>producers’</w:t>
            </w:r>
            <w:r w:rsidRPr="00765CBD">
              <w:rPr>
                <w:rFonts w:cs="Calibri-BoldItalic"/>
                <w:bCs/>
                <w:iCs/>
              </w:rPr>
              <w:t xml:space="preserve"> needs, foster </w:t>
            </w:r>
            <w:r w:rsidR="0073107B">
              <w:rPr>
                <w:rFonts w:cs="Calibri-BoldItalic"/>
                <w:bCs/>
                <w:iCs/>
              </w:rPr>
              <w:t xml:space="preserve">their </w:t>
            </w:r>
            <w:r w:rsidRPr="00765CBD">
              <w:rPr>
                <w:rFonts w:cs="Calibri-BoldItalic"/>
                <w:bCs/>
                <w:iCs/>
              </w:rPr>
              <w:t xml:space="preserve">recovery and well‐being, </w:t>
            </w:r>
            <w:r w:rsidR="0073107B" w:rsidRPr="00765CBD">
              <w:rPr>
                <w:rFonts w:cs="Calibri-BoldItalic"/>
                <w:bCs/>
                <w:iCs/>
              </w:rPr>
              <w:t>and</w:t>
            </w:r>
            <w:r w:rsidR="0073107B">
              <w:rPr>
                <w:rFonts w:cs="Calibri-BoldItalic"/>
                <w:bCs/>
                <w:iCs/>
              </w:rPr>
              <w:t xml:space="preserve"> that of </w:t>
            </w:r>
            <w:r w:rsidRPr="00765CBD">
              <w:rPr>
                <w:rFonts w:cs="Calibri-BoldItalic"/>
                <w:bCs/>
                <w:iCs/>
              </w:rPr>
              <w:t>their support networks.</w:t>
            </w:r>
          </w:p>
        </w:tc>
        <w:tc>
          <w:tcPr>
            <w:tcW w:w="4269" w:type="dxa"/>
            <w:shd w:val="clear" w:color="auto" w:fill="E7E6E6" w:themeFill="background2"/>
            <w:vAlign w:val="center"/>
          </w:tcPr>
          <w:p w14:paraId="6A67B519" w14:textId="50547026" w:rsidR="00851624" w:rsidRPr="00765CBD" w:rsidRDefault="00851624" w:rsidP="00765CBD">
            <w:pPr>
              <w:spacing w:before="120" w:after="120"/>
              <w:rPr>
                <w:rFonts w:cs="Calibri-BoldItalic"/>
                <w:bCs/>
                <w:iCs/>
              </w:rPr>
            </w:pPr>
            <w:r w:rsidRPr="00765CBD">
              <w:rPr>
                <w:rFonts w:cs="Calibri-BoldItalic"/>
                <w:bCs/>
                <w:iCs/>
              </w:rPr>
              <w:t>Extent to which the target community participated/are participating in the</w:t>
            </w:r>
            <w:r>
              <w:rPr>
                <w:rFonts w:cs="Calibri-BoldItalic"/>
                <w:bCs/>
                <w:iCs/>
              </w:rPr>
              <w:t xml:space="preserve"> </w:t>
            </w:r>
            <w:r w:rsidRPr="00765CBD">
              <w:rPr>
                <w:rFonts w:cs="Calibri-BoldItalic"/>
                <w:bCs/>
                <w:iCs/>
              </w:rPr>
              <w:t>initiative, and description of this participation and their contribution</w:t>
            </w:r>
            <w:r>
              <w:rPr>
                <w:rFonts w:cs="Calibri-BoldItalic"/>
                <w:bCs/>
                <w:iCs/>
              </w:rPr>
              <w:t>.</w:t>
            </w:r>
            <w:r w:rsidRPr="00765CBD">
              <w:rPr>
                <w:rFonts w:cs="Calibri-BoldItalic"/>
                <w:bCs/>
                <w:iCs/>
              </w:rPr>
              <w:t xml:space="preserve"> </w:t>
            </w:r>
          </w:p>
        </w:tc>
        <w:tc>
          <w:tcPr>
            <w:tcW w:w="946" w:type="dxa"/>
            <w:shd w:val="clear" w:color="auto" w:fill="E7E6E6" w:themeFill="background2"/>
            <w:vAlign w:val="center"/>
          </w:tcPr>
          <w:p w14:paraId="333B8AA6" w14:textId="525F2F34" w:rsidR="00851624" w:rsidRPr="00765CBD" w:rsidRDefault="00851624" w:rsidP="00851624">
            <w:pPr>
              <w:spacing w:before="120" w:after="120"/>
              <w:jc w:val="center"/>
              <w:rPr>
                <w:rFonts w:cs="Calibri-BoldItalic"/>
                <w:bCs/>
                <w:iCs/>
              </w:rPr>
            </w:pPr>
            <w:r w:rsidRPr="00765CBD">
              <w:rPr>
                <w:rFonts w:cs="Calibri-BoldItalic"/>
                <w:bCs/>
                <w:iCs/>
              </w:rPr>
              <w:t>&lt;10</w:t>
            </w:r>
          </w:p>
        </w:tc>
      </w:tr>
      <w:tr w:rsidR="00AB0749" w14:paraId="0F617E5F" w14:textId="0E42C944" w:rsidTr="00AB0749">
        <w:trPr>
          <w:trHeight w:val="890"/>
        </w:trPr>
        <w:tc>
          <w:tcPr>
            <w:tcW w:w="1714" w:type="dxa"/>
            <w:vMerge/>
            <w:tcBorders>
              <w:bottom w:val="single" w:sz="12" w:space="0" w:color="auto"/>
            </w:tcBorders>
            <w:shd w:val="clear" w:color="auto" w:fill="E7E6E6" w:themeFill="background2"/>
            <w:vAlign w:val="center"/>
          </w:tcPr>
          <w:p w14:paraId="33559EAB" w14:textId="77777777" w:rsidR="00851624" w:rsidRPr="00765CBD" w:rsidRDefault="00851624" w:rsidP="00765CBD">
            <w:pPr>
              <w:spacing w:before="120" w:after="120"/>
              <w:rPr>
                <w:rFonts w:cs="Calibri-BoldItalic"/>
                <w:b/>
                <w:bCs/>
                <w:iCs/>
              </w:rPr>
            </w:pPr>
          </w:p>
        </w:tc>
        <w:tc>
          <w:tcPr>
            <w:tcW w:w="2421" w:type="dxa"/>
            <w:vMerge/>
            <w:tcBorders>
              <w:bottom w:val="single" w:sz="12" w:space="0" w:color="auto"/>
            </w:tcBorders>
            <w:shd w:val="clear" w:color="auto" w:fill="E7E6E6" w:themeFill="background2"/>
            <w:vAlign w:val="center"/>
          </w:tcPr>
          <w:p w14:paraId="76B4E068" w14:textId="77777777" w:rsidR="00851624" w:rsidRPr="00765CBD" w:rsidRDefault="00851624" w:rsidP="00765CBD">
            <w:pPr>
              <w:spacing w:before="120" w:after="120"/>
              <w:rPr>
                <w:rFonts w:cs="Calibri-BoldItalic"/>
                <w:bCs/>
                <w:iCs/>
              </w:rPr>
            </w:pPr>
          </w:p>
        </w:tc>
        <w:tc>
          <w:tcPr>
            <w:tcW w:w="4269" w:type="dxa"/>
            <w:tcBorders>
              <w:bottom w:val="single" w:sz="12" w:space="0" w:color="auto"/>
            </w:tcBorders>
            <w:shd w:val="clear" w:color="auto" w:fill="E7E6E6" w:themeFill="background2"/>
            <w:vAlign w:val="center"/>
          </w:tcPr>
          <w:p w14:paraId="1411F144" w14:textId="3CB47B68" w:rsidR="00851624" w:rsidRPr="00765CBD" w:rsidRDefault="00851624" w:rsidP="00765CBD">
            <w:pPr>
              <w:spacing w:before="120" w:after="120"/>
              <w:rPr>
                <w:rFonts w:cs="Calibri-BoldItalic"/>
                <w:bCs/>
                <w:iCs/>
              </w:rPr>
            </w:pPr>
            <w:r w:rsidRPr="00765CBD">
              <w:rPr>
                <w:rFonts w:cs="Calibri-BoldItalic"/>
                <w:bCs/>
                <w:iCs/>
              </w:rPr>
              <w:t xml:space="preserve">If applicable, that </w:t>
            </w:r>
            <w:r w:rsidR="0073107B">
              <w:rPr>
                <w:rFonts w:cs="Calibri-BoldItalic"/>
                <w:bCs/>
                <w:iCs/>
              </w:rPr>
              <w:t>producers and their communities</w:t>
            </w:r>
            <w:r w:rsidRPr="00765CBD">
              <w:rPr>
                <w:rFonts w:cs="Calibri-BoldItalic"/>
                <w:bCs/>
                <w:iCs/>
              </w:rPr>
              <w:t xml:space="preserve"> w</w:t>
            </w:r>
            <w:r w:rsidR="0073107B">
              <w:rPr>
                <w:rFonts w:cs="Calibri-BoldItalic"/>
                <w:bCs/>
                <w:iCs/>
              </w:rPr>
              <w:t>ere</w:t>
            </w:r>
            <w:r w:rsidRPr="00765CBD">
              <w:rPr>
                <w:rFonts w:cs="Calibri-BoldItalic"/>
                <w:bCs/>
                <w:iCs/>
              </w:rPr>
              <w:t xml:space="preserve"> involved in the development of the</w:t>
            </w:r>
            <w:r>
              <w:rPr>
                <w:rFonts w:cs="Calibri-BoldItalic"/>
                <w:bCs/>
                <w:iCs/>
              </w:rPr>
              <w:t xml:space="preserve"> </w:t>
            </w:r>
            <w:r w:rsidRPr="00765CBD">
              <w:rPr>
                <w:rFonts w:cs="Calibri-BoldItalic"/>
                <w:bCs/>
                <w:iCs/>
              </w:rPr>
              <w:t>initiative</w:t>
            </w:r>
            <w:r w:rsidR="0073107B">
              <w:rPr>
                <w:rFonts w:cs="Calibri-BoldItalic"/>
                <w:bCs/>
                <w:iCs/>
              </w:rPr>
              <w:t xml:space="preserve">. </w:t>
            </w:r>
            <w:r w:rsidRPr="00765CBD">
              <w:rPr>
                <w:rFonts w:cs="Calibri-BoldItalic"/>
                <w:bCs/>
                <w:iCs/>
              </w:rPr>
              <w:t xml:space="preserve"> </w:t>
            </w:r>
          </w:p>
        </w:tc>
        <w:tc>
          <w:tcPr>
            <w:tcW w:w="946" w:type="dxa"/>
            <w:tcBorders>
              <w:bottom w:val="single" w:sz="12" w:space="0" w:color="auto"/>
            </w:tcBorders>
            <w:shd w:val="clear" w:color="auto" w:fill="E7E6E6" w:themeFill="background2"/>
            <w:vAlign w:val="center"/>
          </w:tcPr>
          <w:p w14:paraId="332FE9B4" w14:textId="23E7BC27" w:rsidR="00851624" w:rsidRPr="00765CBD" w:rsidRDefault="00851624" w:rsidP="00851624">
            <w:pPr>
              <w:spacing w:before="120" w:after="120"/>
              <w:jc w:val="center"/>
              <w:rPr>
                <w:rFonts w:cs="Calibri-BoldItalic"/>
                <w:bCs/>
                <w:iCs/>
              </w:rPr>
            </w:pPr>
            <w:r w:rsidRPr="00765CBD">
              <w:rPr>
                <w:rFonts w:cs="Calibri-BoldItalic"/>
                <w:bCs/>
                <w:iCs/>
              </w:rPr>
              <w:t>&lt;10</w:t>
            </w:r>
          </w:p>
        </w:tc>
      </w:tr>
      <w:tr w:rsidR="00851624" w14:paraId="5C84F9C7" w14:textId="50257A7A" w:rsidTr="00AB0749">
        <w:trPr>
          <w:trHeight w:val="585"/>
        </w:trPr>
        <w:tc>
          <w:tcPr>
            <w:tcW w:w="1714" w:type="dxa"/>
            <w:vMerge w:val="restart"/>
            <w:tcBorders>
              <w:top w:val="single" w:sz="12" w:space="0" w:color="auto"/>
            </w:tcBorders>
            <w:vAlign w:val="center"/>
          </w:tcPr>
          <w:p w14:paraId="68153568" w14:textId="65FEC820" w:rsidR="00851624" w:rsidRPr="00765CBD" w:rsidRDefault="00851624" w:rsidP="00765CBD">
            <w:pPr>
              <w:spacing w:before="120" w:after="120"/>
              <w:rPr>
                <w:rFonts w:cs="Calibri-BoldItalic"/>
                <w:b/>
                <w:bCs/>
                <w:iCs/>
              </w:rPr>
            </w:pPr>
            <w:r w:rsidRPr="00765CBD">
              <w:rPr>
                <w:rFonts w:cs="Calibri-BoldItalic"/>
                <w:b/>
                <w:bCs/>
                <w:iCs/>
              </w:rPr>
              <w:t>Workplace Initiatives</w:t>
            </w:r>
          </w:p>
        </w:tc>
        <w:tc>
          <w:tcPr>
            <w:tcW w:w="2421" w:type="dxa"/>
            <w:vMerge w:val="restart"/>
            <w:tcBorders>
              <w:top w:val="single" w:sz="12" w:space="0" w:color="auto"/>
            </w:tcBorders>
            <w:vAlign w:val="center"/>
          </w:tcPr>
          <w:p w14:paraId="10AEB81E" w14:textId="6C60826B" w:rsidR="00851624" w:rsidRPr="00765CBD" w:rsidRDefault="00851624" w:rsidP="00765CBD">
            <w:pPr>
              <w:spacing w:before="120" w:after="120"/>
              <w:rPr>
                <w:rFonts w:cs="Calibri-BoldItalic"/>
                <w:b/>
                <w:bCs/>
                <w:iCs/>
              </w:rPr>
            </w:pPr>
            <w:r w:rsidRPr="00765CBD">
              <w:rPr>
                <w:rFonts w:cs="Calibri-BoldItalic"/>
                <w:bCs/>
                <w:iCs/>
              </w:rPr>
              <w:t xml:space="preserve">A project or program led by a public, private or non‐profit sector organization within the agricultural industry that uses tools to promote mental health </w:t>
            </w:r>
            <w:r w:rsidR="0073107B">
              <w:rPr>
                <w:rFonts w:cs="Calibri-BoldItalic"/>
                <w:bCs/>
                <w:iCs/>
              </w:rPr>
              <w:t>within farm workplaces</w:t>
            </w:r>
            <w:r w:rsidRPr="00765CBD">
              <w:rPr>
                <w:rFonts w:cs="Calibri-BoldItalic"/>
                <w:bCs/>
                <w:iCs/>
              </w:rPr>
              <w:t>.</w:t>
            </w:r>
          </w:p>
        </w:tc>
        <w:tc>
          <w:tcPr>
            <w:tcW w:w="4269" w:type="dxa"/>
            <w:tcBorders>
              <w:top w:val="single" w:sz="12" w:space="0" w:color="auto"/>
            </w:tcBorders>
            <w:vAlign w:val="center"/>
          </w:tcPr>
          <w:p w14:paraId="19DA0881" w14:textId="72EF14F4" w:rsidR="00851624" w:rsidRPr="00765CBD" w:rsidRDefault="00851624" w:rsidP="00765CBD">
            <w:pPr>
              <w:autoSpaceDE w:val="0"/>
              <w:autoSpaceDN w:val="0"/>
              <w:adjustRightInd w:val="0"/>
              <w:spacing w:before="120" w:after="120"/>
              <w:rPr>
                <w:rFonts w:cs="Calibri"/>
              </w:rPr>
            </w:pPr>
            <w:r w:rsidRPr="00765CBD">
              <w:rPr>
                <w:rFonts w:cs="Calibri"/>
              </w:rPr>
              <w:t xml:space="preserve">Extent to which </w:t>
            </w:r>
            <w:r w:rsidR="0073107B">
              <w:rPr>
                <w:rFonts w:cs="Calibri"/>
              </w:rPr>
              <w:t xml:space="preserve">producers and farm workers </w:t>
            </w:r>
            <w:r w:rsidRPr="00765CBD">
              <w:rPr>
                <w:rFonts w:cs="Calibri"/>
              </w:rPr>
              <w:t>are participating in the</w:t>
            </w:r>
            <w:r>
              <w:rPr>
                <w:rFonts w:cs="Calibri"/>
              </w:rPr>
              <w:t xml:space="preserve"> </w:t>
            </w:r>
            <w:r w:rsidRPr="00765CBD">
              <w:rPr>
                <w:rFonts w:cs="Calibri"/>
              </w:rPr>
              <w:t>initiative</w:t>
            </w:r>
            <w:r>
              <w:rPr>
                <w:rFonts w:cs="Calibri"/>
              </w:rPr>
              <w:t xml:space="preserve">. </w:t>
            </w:r>
          </w:p>
        </w:tc>
        <w:tc>
          <w:tcPr>
            <w:tcW w:w="946" w:type="dxa"/>
            <w:tcBorders>
              <w:top w:val="single" w:sz="12" w:space="0" w:color="auto"/>
            </w:tcBorders>
            <w:vAlign w:val="center"/>
          </w:tcPr>
          <w:p w14:paraId="48D87D3A" w14:textId="01627CC2" w:rsidR="00851624" w:rsidRPr="00765CBD" w:rsidRDefault="00851624" w:rsidP="00851624">
            <w:pPr>
              <w:autoSpaceDE w:val="0"/>
              <w:autoSpaceDN w:val="0"/>
              <w:adjustRightInd w:val="0"/>
              <w:spacing w:before="120" w:after="120"/>
              <w:jc w:val="center"/>
              <w:rPr>
                <w:rFonts w:cs="Calibri"/>
              </w:rPr>
            </w:pPr>
            <w:r w:rsidRPr="00765CBD">
              <w:rPr>
                <w:rFonts w:cs="Calibri"/>
              </w:rPr>
              <w:t>&lt;4</w:t>
            </w:r>
          </w:p>
        </w:tc>
      </w:tr>
      <w:tr w:rsidR="00851624" w14:paraId="387A9130" w14:textId="3448EAEB" w:rsidTr="0092509D">
        <w:trPr>
          <w:trHeight w:val="585"/>
        </w:trPr>
        <w:tc>
          <w:tcPr>
            <w:tcW w:w="1714" w:type="dxa"/>
            <w:vMerge/>
            <w:vAlign w:val="center"/>
          </w:tcPr>
          <w:p w14:paraId="7A73BD36" w14:textId="77777777" w:rsidR="00851624" w:rsidRPr="00765CBD" w:rsidRDefault="00851624" w:rsidP="00765CBD">
            <w:pPr>
              <w:spacing w:before="120" w:after="120"/>
              <w:rPr>
                <w:rFonts w:cs="Calibri-BoldItalic"/>
                <w:b/>
                <w:bCs/>
                <w:iCs/>
              </w:rPr>
            </w:pPr>
          </w:p>
        </w:tc>
        <w:tc>
          <w:tcPr>
            <w:tcW w:w="2421" w:type="dxa"/>
            <w:vMerge/>
            <w:vAlign w:val="center"/>
          </w:tcPr>
          <w:p w14:paraId="452EB787" w14:textId="77777777" w:rsidR="00851624" w:rsidRPr="00765CBD" w:rsidRDefault="00851624" w:rsidP="00765CBD">
            <w:pPr>
              <w:spacing w:before="120" w:after="120"/>
              <w:rPr>
                <w:rFonts w:cs="Calibri-BoldItalic"/>
                <w:bCs/>
                <w:iCs/>
              </w:rPr>
            </w:pPr>
          </w:p>
        </w:tc>
        <w:tc>
          <w:tcPr>
            <w:tcW w:w="4269" w:type="dxa"/>
            <w:vAlign w:val="center"/>
          </w:tcPr>
          <w:p w14:paraId="2C439A13" w14:textId="5903BC1E" w:rsidR="00851624" w:rsidRPr="00765CBD" w:rsidRDefault="00851624" w:rsidP="00765CBD">
            <w:pPr>
              <w:autoSpaceDE w:val="0"/>
              <w:autoSpaceDN w:val="0"/>
              <w:adjustRightInd w:val="0"/>
              <w:spacing w:before="120" w:after="120"/>
              <w:rPr>
                <w:rFonts w:cs="Calibri"/>
              </w:rPr>
            </w:pPr>
            <w:r w:rsidRPr="00765CBD">
              <w:rPr>
                <w:rFonts w:cs="Calibri"/>
              </w:rPr>
              <w:t xml:space="preserve">Extent to which </w:t>
            </w:r>
            <w:r w:rsidR="0073107B">
              <w:rPr>
                <w:rFonts w:cs="Calibri"/>
              </w:rPr>
              <w:t>producers and farm workers</w:t>
            </w:r>
            <w:r w:rsidRPr="00765CBD">
              <w:rPr>
                <w:rFonts w:cs="Calibri"/>
              </w:rPr>
              <w:t xml:space="preserve"> are likely to be, or confirmed to be, affected by the initiative</w:t>
            </w:r>
            <w:r>
              <w:rPr>
                <w:rFonts w:cs="Calibri"/>
              </w:rPr>
              <w:t>.</w:t>
            </w:r>
            <w:r w:rsidRPr="00765CBD">
              <w:rPr>
                <w:rFonts w:cs="Calibri"/>
              </w:rPr>
              <w:t xml:space="preserve"> </w:t>
            </w:r>
          </w:p>
        </w:tc>
        <w:tc>
          <w:tcPr>
            <w:tcW w:w="946" w:type="dxa"/>
            <w:vAlign w:val="center"/>
          </w:tcPr>
          <w:p w14:paraId="6C6912D5" w14:textId="702DDAC7" w:rsidR="00851624" w:rsidRPr="00765CBD" w:rsidRDefault="00851624" w:rsidP="00851624">
            <w:pPr>
              <w:autoSpaceDE w:val="0"/>
              <w:autoSpaceDN w:val="0"/>
              <w:adjustRightInd w:val="0"/>
              <w:spacing w:before="120" w:after="120"/>
              <w:jc w:val="center"/>
              <w:rPr>
                <w:rFonts w:cs="Calibri"/>
              </w:rPr>
            </w:pPr>
            <w:r w:rsidRPr="00765CBD">
              <w:rPr>
                <w:rFonts w:cs="Calibri"/>
              </w:rPr>
              <w:t>&lt;8</w:t>
            </w:r>
          </w:p>
        </w:tc>
      </w:tr>
      <w:tr w:rsidR="00851624" w14:paraId="1981AC96" w14:textId="160470F0" w:rsidTr="00AB0749">
        <w:trPr>
          <w:trHeight w:val="585"/>
        </w:trPr>
        <w:tc>
          <w:tcPr>
            <w:tcW w:w="1714" w:type="dxa"/>
            <w:vMerge/>
            <w:tcBorders>
              <w:bottom w:val="single" w:sz="12" w:space="0" w:color="auto"/>
            </w:tcBorders>
            <w:vAlign w:val="center"/>
          </w:tcPr>
          <w:p w14:paraId="5120A073" w14:textId="77777777" w:rsidR="00851624" w:rsidRPr="00765CBD" w:rsidRDefault="00851624" w:rsidP="00765CBD">
            <w:pPr>
              <w:spacing w:before="120" w:after="120"/>
              <w:rPr>
                <w:rFonts w:cs="Calibri-BoldItalic"/>
                <w:b/>
                <w:bCs/>
                <w:iCs/>
              </w:rPr>
            </w:pPr>
          </w:p>
        </w:tc>
        <w:tc>
          <w:tcPr>
            <w:tcW w:w="2421" w:type="dxa"/>
            <w:vMerge/>
            <w:tcBorders>
              <w:bottom w:val="single" w:sz="12" w:space="0" w:color="auto"/>
            </w:tcBorders>
            <w:vAlign w:val="center"/>
          </w:tcPr>
          <w:p w14:paraId="6BB83697" w14:textId="77777777" w:rsidR="00851624" w:rsidRPr="00765CBD" w:rsidRDefault="00851624" w:rsidP="00765CBD">
            <w:pPr>
              <w:spacing w:before="120" w:after="120"/>
              <w:rPr>
                <w:rFonts w:cs="Calibri-BoldItalic"/>
                <w:bCs/>
                <w:iCs/>
              </w:rPr>
            </w:pPr>
          </w:p>
        </w:tc>
        <w:tc>
          <w:tcPr>
            <w:tcW w:w="4269" w:type="dxa"/>
            <w:tcBorders>
              <w:bottom w:val="single" w:sz="12" w:space="0" w:color="auto"/>
            </w:tcBorders>
            <w:vAlign w:val="center"/>
          </w:tcPr>
          <w:p w14:paraId="15131E64" w14:textId="28F2576D" w:rsidR="00851624" w:rsidRPr="00765CBD" w:rsidRDefault="00851624" w:rsidP="00765CBD">
            <w:pPr>
              <w:autoSpaceDE w:val="0"/>
              <w:autoSpaceDN w:val="0"/>
              <w:adjustRightInd w:val="0"/>
              <w:spacing w:before="120" w:after="120"/>
              <w:rPr>
                <w:rFonts w:cs="Calibri"/>
              </w:rPr>
            </w:pPr>
            <w:r w:rsidRPr="00765CBD">
              <w:rPr>
                <w:rFonts w:cs="Calibri"/>
              </w:rPr>
              <w:t xml:space="preserve">How have workplace psychological health and safety risks changed as result of this initiative? </w:t>
            </w:r>
          </w:p>
        </w:tc>
        <w:tc>
          <w:tcPr>
            <w:tcW w:w="946" w:type="dxa"/>
            <w:tcBorders>
              <w:bottom w:val="single" w:sz="12" w:space="0" w:color="auto"/>
            </w:tcBorders>
            <w:vAlign w:val="center"/>
          </w:tcPr>
          <w:p w14:paraId="436D6EE5" w14:textId="7410BFCB" w:rsidR="00851624" w:rsidRPr="00765CBD" w:rsidRDefault="00851624" w:rsidP="00851624">
            <w:pPr>
              <w:autoSpaceDE w:val="0"/>
              <w:autoSpaceDN w:val="0"/>
              <w:adjustRightInd w:val="0"/>
              <w:spacing w:before="120" w:after="120"/>
              <w:jc w:val="center"/>
              <w:rPr>
                <w:rFonts w:cs="Calibri"/>
              </w:rPr>
            </w:pPr>
            <w:r w:rsidRPr="00765CBD">
              <w:rPr>
                <w:rFonts w:cs="Calibri"/>
              </w:rPr>
              <w:t>&lt;8</w:t>
            </w:r>
          </w:p>
        </w:tc>
      </w:tr>
      <w:tr w:rsidR="00851624" w14:paraId="471C6717" w14:textId="58441A83" w:rsidTr="00AB0749">
        <w:trPr>
          <w:trHeight w:val="1208"/>
        </w:trPr>
        <w:tc>
          <w:tcPr>
            <w:tcW w:w="1714" w:type="dxa"/>
            <w:vMerge w:val="restart"/>
            <w:tcBorders>
              <w:top w:val="single" w:sz="12" w:space="0" w:color="auto"/>
            </w:tcBorders>
            <w:shd w:val="clear" w:color="auto" w:fill="E7E6E6" w:themeFill="background2"/>
            <w:vAlign w:val="center"/>
          </w:tcPr>
          <w:p w14:paraId="746F3AFB" w14:textId="7712F03A" w:rsidR="00851624" w:rsidRPr="00765CBD" w:rsidRDefault="00851624" w:rsidP="00765CBD">
            <w:pPr>
              <w:spacing w:before="120" w:after="120"/>
              <w:rPr>
                <w:rFonts w:cs="Calibri-BoldItalic"/>
                <w:b/>
                <w:bCs/>
                <w:iCs/>
              </w:rPr>
            </w:pPr>
            <w:r w:rsidRPr="00765CBD">
              <w:rPr>
                <w:rFonts w:cs="Calibri-BoldItalic"/>
                <w:b/>
                <w:bCs/>
                <w:iCs/>
              </w:rPr>
              <w:t>Research Projects</w:t>
            </w:r>
          </w:p>
        </w:tc>
        <w:tc>
          <w:tcPr>
            <w:tcW w:w="2421" w:type="dxa"/>
            <w:vMerge w:val="restart"/>
            <w:tcBorders>
              <w:top w:val="single" w:sz="12" w:space="0" w:color="auto"/>
            </w:tcBorders>
            <w:shd w:val="clear" w:color="auto" w:fill="E7E6E6" w:themeFill="background2"/>
            <w:vAlign w:val="center"/>
          </w:tcPr>
          <w:p w14:paraId="6A369A67" w14:textId="160EAB8E" w:rsidR="00851624" w:rsidRPr="00765CBD" w:rsidRDefault="00851624" w:rsidP="00011691">
            <w:pPr>
              <w:spacing w:before="120" w:after="120"/>
              <w:rPr>
                <w:rFonts w:cs="Calibri-BoldItalic"/>
                <w:b/>
                <w:bCs/>
                <w:iCs/>
              </w:rPr>
            </w:pPr>
            <w:r w:rsidRPr="00765CBD">
              <w:rPr>
                <w:rFonts w:cs="Calibri-BoldItalic"/>
                <w:bCs/>
                <w:iCs/>
              </w:rPr>
              <w:t>Initiatives that have developed approaches to research in mental health</w:t>
            </w:r>
            <w:r w:rsidR="00011691">
              <w:rPr>
                <w:rFonts w:cs="Calibri-BoldItalic"/>
                <w:bCs/>
                <w:iCs/>
              </w:rPr>
              <w:t>.</w:t>
            </w:r>
            <w:r w:rsidRPr="00765CBD">
              <w:rPr>
                <w:rFonts w:cs="Calibri-BoldItalic"/>
                <w:bCs/>
                <w:iCs/>
              </w:rPr>
              <w:t xml:space="preserve"> </w:t>
            </w:r>
            <w:r w:rsidR="00011691">
              <w:rPr>
                <w:rFonts w:cs="Calibri-BoldItalic"/>
                <w:bCs/>
                <w:iCs/>
              </w:rPr>
              <w:t>Initiatives</w:t>
            </w:r>
            <w:r w:rsidRPr="00765CBD">
              <w:rPr>
                <w:rFonts w:cs="Calibri-BoldItalic"/>
                <w:bCs/>
                <w:iCs/>
              </w:rPr>
              <w:t xml:space="preserve"> that provide practical guidance for those who work in the mental health field and people with lived experience.</w:t>
            </w:r>
          </w:p>
        </w:tc>
        <w:tc>
          <w:tcPr>
            <w:tcW w:w="4269" w:type="dxa"/>
            <w:tcBorders>
              <w:top w:val="single" w:sz="12" w:space="0" w:color="auto"/>
            </w:tcBorders>
            <w:shd w:val="clear" w:color="auto" w:fill="E7E6E6" w:themeFill="background2"/>
            <w:vAlign w:val="center"/>
          </w:tcPr>
          <w:p w14:paraId="4BCE5EEC" w14:textId="0E0D68EF" w:rsidR="00851624" w:rsidRPr="00765CBD" w:rsidRDefault="00851624" w:rsidP="00765CBD">
            <w:pPr>
              <w:spacing w:before="120" w:after="120"/>
              <w:rPr>
                <w:rFonts w:cs="Calibri-BoldItalic"/>
                <w:bCs/>
                <w:iCs/>
              </w:rPr>
            </w:pPr>
            <w:r w:rsidRPr="00765CBD">
              <w:rPr>
                <w:rFonts w:cs="Calibri-BoldItalic"/>
                <w:bCs/>
                <w:iCs/>
              </w:rPr>
              <w:t>Does the initiative involve people with lived</w:t>
            </w:r>
            <w:r w:rsidR="0073107B">
              <w:rPr>
                <w:rFonts w:cs="Calibri-BoldItalic"/>
                <w:bCs/>
                <w:iCs/>
              </w:rPr>
              <w:t>,</w:t>
            </w:r>
            <w:r w:rsidRPr="00765CBD">
              <w:rPr>
                <w:rFonts w:cs="Calibri-BoldItalic"/>
                <w:bCs/>
                <w:iCs/>
              </w:rPr>
              <w:t xml:space="preserve"> </w:t>
            </w:r>
            <w:r w:rsidR="0073107B">
              <w:rPr>
                <w:rFonts w:cs="Calibri-BoldItalic"/>
                <w:bCs/>
                <w:iCs/>
              </w:rPr>
              <w:t xml:space="preserve">on-farm </w:t>
            </w:r>
            <w:r w:rsidRPr="00765CBD">
              <w:rPr>
                <w:rFonts w:cs="Calibri-BoldItalic"/>
                <w:bCs/>
                <w:iCs/>
              </w:rPr>
              <w:t xml:space="preserve">experience throughout the project lifecycle? </w:t>
            </w:r>
          </w:p>
        </w:tc>
        <w:tc>
          <w:tcPr>
            <w:tcW w:w="946" w:type="dxa"/>
            <w:tcBorders>
              <w:top w:val="single" w:sz="12" w:space="0" w:color="auto"/>
            </w:tcBorders>
            <w:shd w:val="clear" w:color="auto" w:fill="E7E6E6" w:themeFill="background2"/>
            <w:vAlign w:val="center"/>
          </w:tcPr>
          <w:p w14:paraId="47B9ECD4" w14:textId="5CE3A418" w:rsidR="00851624" w:rsidRPr="00765CBD" w:rsidRDefault="00851624" w:rsidP="00851624">
            <w:pPr>
              <w:spacing w:before="120" w:after="120"/>
              <w:jc w:val="center"/>
              <w:rPr>
                <w:rFonts w:cs="Calibri-BoldItalic"/>
                <w:bCs/>
                <w:iCs/>
              </w:rPr>
            </w:pPr>
            <w:r w:rsidRPr="00765CBD">
              <w:rPr>
                <w:rFonts w:cs="Calibri-BoldItalic"/>
                <w:bCs/>
                <w:iCs/>
              </w:rPr>
              <w:t>&lt;10</w:t>
            </w:r>
          </w:p>
        </w:tc>
      </w:tr>
      <w:tr w:rsidR="00851624" w14:paraId="1EDA2BEE" w14:textId="42BF67AB" w:rsidTr="00AB0749">
        <w:trPr>
          <w:trHeight w:val="1207"/>
        </w:trPr>
        <w:tc>
          <w:tcPr>
            <w:tcW w:w="1714" w:type="dxa"/>
            <w:vMerge/>
            <w:tcBorders>
              <w:bottom w:val="single" w:sz="12" w:space="0" w:color="auto"/>
            </w:tcBorders>
            <w:shd w:val="clear" w:color="auto" w:fill="E7E6E6" w:themeFill="background2"/>
            <w:vAlign w:val="center"/>
          </w:tcPr>
          <w:p w14:paraId="01D75C91" w14:textId="77777777" w:rsidR="00851624" w:rsidRPr="00765CBD" w:rsidRDefault="00851624" w:rsidP="00765CBD">
            <w:pPr>
              <w:spacing w:before="120" w:after="120"/>
              <w:rPr>
                <w:rFonts w:cs="Calibri-BoldItalic"/>
                <w:b/>
                <w:bCs/>
                <w:iCs/>
              </w:rPr>
            </w:pPr>
          </w:p>
        </w:tc>
        <w:tc>
          <w:tcPr>
            <w:tcW w:w="2421" w:type="dxa"/>
            <w:vMerge/>
            <w:tcBorders>
              <w:bottom w:val="single" w:sz="12" w:space="0" w:color="auto"/>
            </w:tcBorders>
            <w:shd w:val="clear" w:color="auto" w:fill="E7E6E6" w:themeFill="background2"/>
            <w:vAlign w:val="center"/>
          </w:tcPr>
          <w:p w14:paraId="3E06C6AC" w14:textId="77777777" w:rsidR="00851624" w:rsidRPr="00765CBD" w:rsidRDefault="00851624" w:rsidP="00765CBD">
            <w:pPr>
              <w:spacing w:before="120" w:after="120"/>
              <w:rPr>
                <w:rFonts w:cs="Calibri-BoldItalic"/>
                <w:bCs/>
                <w:iCs/>
              </w:rPr>
            </w:pPr>
          </w:p>
        </w:tc>
        <w:tc>
          <w:tcPr>
            <w:tcW w:w="4269" w:type="dxa"/>
            <w:tcBorders>
              <w:bottom w:val="single" w:sz="12" w:space="0" w:color="auto"/>
            </w:tcBorders>
            <w:shd w:val="clear" w:color="auto" w:fill="E7E6E6" w:themeFill="background2"/>
            <w:vAlign w:val="center"/>
          </w:tcPr>
          <w:p w14:paraId="25007D78" w14:textId="7F8AE6B0" w:rsidR="00851624" w:rsidRPr="00765CBD" w:rsidRDefault="00851624" w:rsidP="00765CBD">
            <w:pPr>
              <w:spacing w:before="120" w:after="120"/>
              <w:rPr>
                <w:rFonts w:cs="Calibri-BoldItalic"/>
                <w:bCs/>
                <w:iCs/>
              </w:rPr>
            </w:pPr>
            <w:r w:rsidRPr="00765CBD">
              <w:rPr>
                <w:rFonts w:cs="Calibri-BoldItalic"/>
                <w:bCs/>
                <w:iCs/>
              </w:rPr>
              <w:t xml:space="preserve">Overview of the project’s demonstrated impact or, if still underway, key indicators to demonstrate potential impact? </w:t>
            </w:r>
          </w:p>
        </w:tc>
        <w:tc>
          <w:tcPr>
            <w:tcW w:w="946" w:type="dxa"/>
            <w:tcBorders>
              <w:bottom w:val="single" w:sz="12" w:space="0" w:color="auto"/>
            </w:tcBorders>
            <w:shd w:val="clear" w:color="auto" w:fill="E7E6E6" w:themeFill="background2"/>
            <w:vAlign w:val="center"/>
          </w:tcPr>
          <w:p w14:paraId="43F8DF1E" w14:textId="0EC0D87D" w:rsidR="00851624" w:rsidRPr="00765CBD" w:rsidRDefault="00851624" w:rsidP="00851624">
            <w:pPr>
              <w:spacing w:before="120" w:after="120"/>
              <w:jc w:val="center"/>
              <w:rPr>
                <w:rFonts w:cs="Calibri-BoldItalic"/>
                <w:bCs/>
                <w:iCs/>
              </w:rPr>
            </w:pPr>
            <w:r w:rsidRPr="00765CBD">
              <w:rPr>
                <w:rFonts w:cs="Calibri-BoldItalic"/>
                <w:bCs/>
                <w:iCs/>
              </w:rPr>
              <w:t>&lt;10</w:t>
            </w:r>
          </w:p>
        </w:tc>
      </w:tr>
      <w:tr w:rsidR="00851624" w14:paraId="25CDB093" w14:textId="3D944D20" w:rsidTr="00AB0749">
        <w:trPr>
          <w:trHeight w:val="938"/>
        </w:trPr>
        <w:tc>
          <w:tcPr>
            <w:tcW w:w="1714" w:type="dxa"/>
            <w:vMerge w:val="restart"/>
            <w:tcBorders>
              <w:top w:val="single" w:sz="12" w:space="0" w:color="auto"/>
            </w:tcBorders>
            <w:vAlign w:val="center"/>
          </w:tcPr>
          <w:p w14:paraId="27ABB1A7" w14:textId="10340B8B" w:rsidR="00851624" w:rsidRPr="00765CBD" w:rsidRDefault="00851624" w:rsidP="00765CBD">
            <w:pPr>
              <w:spacing w:before="120" w:after="120"/>
              <w:rPr>
                <w:rFonts w:cs="Calibri-BoldItalic"/>
                <w:b/>
                <w:bCs/>
                <w:iCs/>
              </w:rPr>
            </w:pPr>
            <w:r w:rsidRPr="00765CBD">
              <w:rPr>
                <w:rFonts w:cs="Calibri-BoldItalic"/>
                <w:b/>
                <w:bCs/>
                <w:iCs/>
              </w:rPr>
              <w:t>Social Innovations</w:t>
            </w:r>
          </w:p>
        </w:tc>
        <w:tc>
          <w:tcPr>
            <w:tcW w:w="2421" w:type="dxa"/>
            <w:vMerge w:val="restart"/>
            <w:tcBorders>
              <w:top w:val="single" w:sz="12" w:space="0" w:color="auto"/>
            </w:tcBorders>
            <w:vAlign w:val="center"/>
          </w:tcPr>
          <w:p w14:paraId="00CB1469" w14:textId="3C474B2B" w:rsidR="00851624" w:rsidRPr="00765CBD" w:rsidRDefault="00851624" w:rsidP="00765CBD">
            <w:pPr>
              <w:spacing w:before="120" w:after="120"/>
              <w:rPr>
                <w:rFonts w:cs="Calibri-BoldItalic"/>
                <w:b/>
                <w:bCs/>
                <w:iCs/>
              </w:rPr>
            </w:pPr>
            <w:r w:rsidRPr="00765CBD">
              <w:rPr>
                <w:rFonts w:cs="Calibri-BoldItalic"/>
                <w:bCs/>
                <w:iCs/>
              </w:rPr>
              <w:t xml:space="preserve">Initiatives that have delivered important economic and social benefits for </w:t>
            </w:r>
            <w:r w:rsidR="009271A3">
              <w:rPr>
                <w:rFonts w:cs="Calibri-BoldItalic"/>
                <w:bCs/>
                <w:iCs/>
              </w:rPr>
              <w:t>producers</w:t>
            </w:r>
            <w:r w:rsidR="009271A3" w:rsidRPr="00765CBD">
              <w:rPr>
                <w:rFonts w:cs="Calibri-BoldItalic"/>
                <w:bCs/>
                <w:iCs/>
              </w:rPr>
              <w:t xml:space="preserve"> </w:t>
            </w:r>
            <w:r w:rsidRPr="00765CBD">
              <w:rPr>
                <w:rFonts w:cs="Calibri-BoldItalic"/>
                <w:bCs/>
                <w:iCs/>
              </w:rPr>
              <w:t xml:space="preserve"> living with mental health problems and illnesses.</w:t>
            </w:r>
          </w:p>
        </w:tc>
        <w:tc>
          <w:tcPr>
            <w:tcW w:w="4269" w:type="dxa"/>
            <w:tcBorders>
              <w:top w:val="single" w:sz="12" w:space="0" w:color="auto"/>
            </w:tcBorders>
            <w:vAlign w:val="center"/>
          </w:tcPr>
          <w:p w14:paraId="09DAB13A" w14:textId="75104B7B" w:rsidR="00851624" w:rsidRPr="00765CBD" w:rsidRDefault="00851624" w:rsidP="00765CBD">
            <w:pPr>
              <w:autoSpaceDE w:val="0"/>
              <w:autoSpaceDN w:val="0"/>
              <w:adjustRightInd w:val="0"/>
              <w:spacing w:before="120" w:after="120"/>
              <w:rPr>
                <w:rFonts w:ascii="Calibri" w:hAnsi="Calibri" w:cs="Calibri"/>
              </w:rPr>
            </w:pPr>
            <w:r w:rsidRPr="00765CBD">
              <w:rPr>
                <w:rFonts w:ascii="Calibri" w:hAnsi="Calibri" w:cs="Calibri"/>
              </w:rPr>
              <w:t>Could the initiative be replicated in other communities, including rural/remote locations</w:t>
            </w:r>
            <w:r>
              <w:rPr>
                <w:rFonts w:ascii="Calibri" w:hAnsi="Calibri" w:cs="Calibri"/>
              </w:rPr>
              <w:t>.</w:t>
            </w:r>
            <w:r w:rsidRPr="00765CBD">
              <w:rPr>
                <w:rFonts w:ascii="Calibri" w:hAnsi="Calibri" w:cs="Calibri"/>
              </w:rPr>
              <w:t xml:space="preserve"> </w:t>
            </w:r>
          </w:p>
        </w:tc>
        <w:tc>
          <w:tcPr>
            <w:tcW w:w="946" w:type="dxa"/>
            <w:tcBorders>
              <w:top w:val="single" w:sz="12" w:space="0" w:color="auto"/>
            </w:tcBorders>
            <w:vAlign w:val="center"/>
          </w:tcPr>
          <w:p w14:paraId="7D5FAC8C" w14:textId="0D2CB4DC" w:rsidR="00851624" w:rsidRPr="00765CBD" w:rsidRDefault="00851624" w:rsidP="00851624">
            <w:pPr>
              <w:autoSpaceDE w:val="0"/>
              <w:autoSpaceDN w:val="0"/>
              <w:adjustRightInd w:val="0"/>
              <w:spacing w:before="120" w:after="120"/>
              <w:jc w:val="center"/>
              <w:rPr>
                <w:rFonts w:ascii="Calibri" w:hAnsi="Calibri" w:cs="Calibri"/>
              </w:rPr>
            </w:pPr>
            <w:r w:rsidRPr="00765CBD">
              <w:rPr>
                <w:rFonts w:ascii="Calibri" w:hAnsi="Calibri" w:cs="Calibri"/>
              </w:rPr>
              <w:t>&lt;10</w:t>
            </w:r>
          </w:p>
        </w:tc>
      </w:tr>
      <w:tr w:rsidR="00851624" w14:paraId="6795D429" w14:textId="5A6B7496" w:rsidTr="0092509D">
        <w:trPr>
          <w:trHeight w:val="937"/>
        </w:trPr>
        <w:tc>
          <w:tcPr>
            <w:tcW w:w="1714" w:type="dxa"/>
            <w:vMerge/>
          </w:tcPr>
          <w:p w14:paraId="16116808" w14:textId="77777777" w:rsidR="00851624" w:rsidRPr="00765CBD" w:rsidRDefault="00851624" w:rsidP="002E1517">
            <w:pPr>
              <w:rPr>
                <w:rFonts w:cs="Calibri-BoldItalic"/>
                <w:b/>
                <w:bCs/>
                <w:iCs/>
              </w:rPr>
            </w:pPr>
          </w:p>
        </w:tc>
        <w:tc>
          <w:tcPr>
            <w:tcW w:w="2421" w:type="dxa"/>
            <w:vMerge/>
          </w:tcPr>
          <w:p w14:paraId="34D0AA0A" w14:textId="77777777" w:rsidR="00851624" w:rsidRPr="00765CBD" w:rsidRDefault="00851624" w:rsidP="002E1517">
            <w:pPr>
              <w:rPr>
                <w:rFonts w:cs="Calibri-BoldItalic"/>
                <w:bCs/>
                <w:iCs/>
              </w:rPr>
            </w:pPr>
          </w:p>
        </w:tc>
        <w:tc>
          <w:tcPr>
            <w:tcW w:w="4269" w:type="dxa"/>
            <w:vAlign w:val="center"/>
          </w:tcPr>
          <w:p w14:paraId="4417FEC6" w14:textId="161B72DC" w:rsidR="00851624" w:rsidRPr="00765CBD" w:rsidRDefault="00851624" w:rsidP="00765CBD">
            <w:pPr>
              <w:spacing w:before="120" w:after="120"/>
              <w:rPr>
                <w:rFonts w:cs="Calibri-BoldItalic"/>
                <w:b/>
                <w:bCs/>
                <w:iCs/>
              </w:rPr>
            </w:pPr>
            <w:r w:rsidRPr="00765CBD">
              <w:rPr>
                <w:rFonts w:ascii="Calibri" w:hAnsi="Calibri" w:cs="Calibri"/>
              </w:rPr>
              <w:t xml:space="preserve">Is there a clear focus on </w:t>
            </w:r>
            <w:r w:rsidR="0073107B">
              <w:rPr>
                <w:rFonts w:ascii="Calibri" w:hAnsi="Calibri" w:cs="Calibri"/>
              </w:rPr>
              <w:t>producers or the broader agricultural community</w:t>
            </w:r>
            <w:r w:rsidRPr="00765CBD">
              <w:rPr>
                <w:rFonts w:ascii="Calibri" w:hAnsi="Calibri" w:cs="Calibri"/>
              </w:rPr>
              <w:t xml:space="preserve">? </w:t>
            </w:r>
          </w:p>
        </w:tc>
        <w:tc>
          <w:tcPr>
            <w:tcW w:w="946" w:type="dxa"/>
            <w:vAlign w:val="center"/>
          </w:tcPr>
          <w:p w14:paraId="676496E6" w14:textId="3A12D757" w:rsidR="00851624" w:rsidRPr="00765CBD" w:rsidRDefault="00851624" w:rsidP="00851624">
            <w:pPr>
              <w:spacing w:before="120" w:after="120"/>
              <w:jc w:val="center"/>
              <w:rPr>
                <w:rFonts w:ascii="Calibri" w:hAnsi="Calibri" w:cs="Calibri"/>
              </w:rPr>
            </w:pPr>
            <w:r w:rsidRPr="00765CBD">
              <w:rPr>
                <w:rFonts w:ascii="Calibri" w:hAnsi="Calibri" w:cs="Calibri"/>
              </w:rPr>
              <w:t>&lt;10</w:t>
            </w:r>
          </w:p>
        </w:tc>
      </w:tr>
      <w:bookmarkEnd w:id="0"/>
    </w:tbl>
    <w:p w14:paraId="34486A62" w14:textId="0A7B5F1F" w:rsidR="003517EE" w:rsidRDefault="003517EE" w:rsidP="002E1517">
      <w:pPr>
        <w:rPr>
          <w:rFonts w:ascii="Calibri-BoldItalic" w:hAnsi="Calibri-BoldItalic" w:cs="Calibri-BoldItalic"/>
          <w:b/>
          <w:bCs/>
          <w:iCs/>
          <w:sz w:val="24"/>
        </w:rPr>
      </w:pPr>
    </w:p>
    <w:p w14:paraId="5E67E227" w14:textId="77777777" w:rsidR="00C25D39" w:rsidRDefault="00C25D39" w:rsidP="00807AD3">
      <w:pPr>
        <w:spacing w:after="60"/>
        <w:rPr>
          <w:rFonts w:cs="Calibri-BoldItalic"/>
          <w:b/>
          <w:bCs/>
          <w:iCs/>
          <w:sz w:val="28"/>
        </w:rPr>
      </w:pPr>
    </w:p>
    <w:p w14:paraId="265529E0" w14:textId="77777777" w:rsidR="00C25D39" w:rsidRDefault="00C25D39" w:rsidP="00807AD3">
      <w:pPr>
        <w:spacing w:after="60"/>
        <w:rPr>
          <w:rFonts w:cs="Calibri-BoldItalic"/>
          <w:b/>
          <w:bCs/>
          <w:iCs/>
          <w:sz w:val="28"/>
        </w:rPr>
      </w:pPr>
    </w:p>
    <w:p w14:paraId="721315F6" w14:textId="77777777" w:rsidR="00B6014C" w:rsidRDefault="00B6014C">
      <w:pPr>
        <w:rPr>
          <w:rFonts w:cs="Calibri-BoldItalic"/>
          <w:b/>
          <w:bCs/>
          <w:iCs/>
          <w:sz w:val="28"/>
        </w:rPr>
      </w:pPr>
      <w:r>
        <w:rPr>
          <w:rFonts w:cs="Calibri-BoldItalic"/>
          <w:b/>
          <w:bCs/>
          <w:iCs/>
          <w:sz w:val="28"/>
        </w:rPr>
        <w:br w:type="page"/>
      </w:r>
    </w:p>
    <w:p w14:paraId="39FCCBEE" w14:textId="36122B47" w:rsidR="0077452A" w:rsidRPr="0077452A" w:rsidRDefault="0077452A" w:rsidP="00807AD3">
      <w:pPr>
        <w:spacing w:after="60"/>
        <w:rPr>
          <w:rFonts w:ascii="Calibri-BoldItalic" w:hAnsi="Calibri-BoldItalic" w:cs="Calibri-BoldItalic"/>
          <w:b/>
          <w:bCs/>
          <w:iCs/>
          <w:sz w:val="28"/>
        </w:rPr>
      </w:pPr>
      <w:r w:rsidRPr="0077452A">
        <w:rPr>
          <w:rFonts w:cs="Calibri-BoldItalic"/>
          <w:b/>
          <w:bCs/>
          <w:iCs/>
          <w:sz w:val="28"/>
        </w:rPr>
        <w:lastRenderedPageBreak/>
        <w:t>Nomination</w:t>
      </w:r>
      <w:r w:rsidRPr="0077452A">
        <w:rPr>
          <w:rFonts w:ascii="Calibri-BoldItalic" w:hAnsi="Calibri-BoldItalic" w:cs="Calibri-BoldItalic"/>
          <w:b/>
          <w:bCs/>
          <w:iCs/>
          <w:sz w:val="28"/>
        </w:rPr>
        <w:t xml:space="preserve"> &amp; </w:t>
      </w:r>
      <w:r w:rsidR="002F5426">
        <w:rPr>
          <w:rFonts w:ascii="Calibri-BoldItalic" w:hAnsi="Calibri-BoldItalic" w:cs="Calibri-BoldItalic"/>
          <w:b/>
          <w:bCs/>
          <w:iCs/>
          <w:sz w:val="28"/>
        </w:rPr>
        <w:t>Evaluation</w:t>
      </w:r>
      <w:r w:rsidRPr="0077452A">
        <w:rPr>
          <w:rFonts w:ascii="Calibri-BoldItalic" w:hAnsi="Calibri-BoldItalic" w:cs="Calibri-BoldItalic"/>
          <w:b/>
          <w:bCs/>
          <w:iCs/>
          <w:sz w:val="28"/>
        </w:rPr>
        <w:t xml:space="preserve"> Process</w:t>
      </w:r>
    </w:p>
    <w:p w14:paraId="15FC8766" w14:textId="00161945" w:rsidR="0077452A" w:rsidRDefault="0077452A" w:rsidP="002E1517">
      <w:pPr>
        <w:rPr>
          <w:rFonts w:cs="Calibri-BoldItalic"/>
          <w:b/>
          <w:bCs/>
          <w:iCs/>
          <w:sz w:val="24"/>
        </w:rPr>
      </w:pPr>
      <w:r>
        <w:rPr>
          <w:rFonts w:cs="Calibri-BoldItalic"/>
          <w:b/>
          <w:bCs/>
          <w:iCs/>
          <w:sz w:val="24"/>
        </w:rPr>
        <w:t>Nominations:</w:t>
      </w:r>
    </w:p>
    <w:p w14:paraId="644F8D6A" w14:textId="4F38AD40" w:rsidR="009C63C5" w:rsidRDefault="0077452A" w:rsidP="002E1517">
      <w:pPr>
        <w:rPr>
          <w:rFonts w:cs="Calibri-BoldItalic"/>
          <w:bCs/>
          <w:iCs/>
        </w:rPr>
      </w:pPr>
      <w:r w:rsidRPr="007A78E0">
        <w:rPr>
          <w:rFonts w:cs="Calibri-BoldItalic"/>
          <w:bCs/>
          <w:iCs/>
        </w:rPr>
        <w:t>CFA will open a</w:t>
      </w:r>
      <w:r w:rsidR="0097561D">
        <w:rPr>
          <w:rFonts w:cs="Calibri-BoldItalic"/>
          <w:bCs/>
          <w:iCs/>
        </w:rPr>
        <w:t>n expression of interest submission window</w:t>
      </w:r>
      <w:r w:rsidRPr="007A78E0">
        <w:rPr>
          <w:rFonts w:cs="Calibri-BoldItalic"/>
          <w:bCs/>
          <w:iCs/>
        </w:rPr>
        <w:t xml:space="preserve"> in </w:t>
      </w:r>
      <w:r w:rsidR="00787969">
        <w:rPr>
          <w:rFonts w:cs="Calibri-BoldItalic"/>
          <w:bCs/>
          <w:iCs/>
        </w:rPr>
        <w:t xml:space="preserve">July </w:t>
      </w:r>
      <w:r w:rsidR="00787969" w:rsidRPr="007A78E0">
        <w:rPr>
          <w:rFonts w:cs="Calibri-BoldItalic"/>
          <w:bCs/>
          <w:iCs/>
        </w:rPr>
        <w:t>20</w:t>
      </w:r>
      <w:r w:rsidR="009D68B3">
        <w:rPr>
          <w:rFonts w:cs="Calibri-BoldItalic"/>
          <w:bCs/>
          <w:iCs/>
        </w:rPr>
        <w:t>2</w:t>
      </w:r>
      <w:r w:rsidR="009D6198">
        <w:rPr>
          <w:rFonts w:cs="Calibri-BoldItalic"/>
          <w:bCs/>
          <w:iCs/>
        </w:rPr>
        <w:t>1</w:t>
      </w:r>
      <w:r w:rsidRPr="007A78E0">
        <w:rPr>
          <w:rFonts w:cs="Calibri-BoldItalic"/>
          <w:bCs/>
          <w:iCs/>
        </w:rPr>
        <w:t xml:space="preserve">, at which time </w:t>
      </w:r>
      <w:r w:rsidR="00D71967">
        <w:rPr>
          <w:rFonts w:cs="Calibri-BoldItalic"/>
          <w:bCs/>
          <w:iCs/>
        </w:rPr>
        <w:t xml:space="preserve">applicants will submit an expression of interest form to CFA by no later than </w:t>
      </w:r>
      <w:r w:rsidR="00787969">
        <w:rPr>
          <w:rFonts w:cs="Calibri-BoldItalic"/>
          <w:bCs/>
          <w:iCs/>
        </w:rPr>
        <w:t>October 11</w:t>
      </w:r>
      <w:r w:rsidR="00787969" w:rsidRPr="00D71967">
        <w:rPr>
          <w:rFonts w:cs="Calibri-BoldItalic"/>
          <w:bCs/>
          <w:iCs/>
          <w:vertAlign w:val="superscript"/>
        </w:rPr>
        <w:t>th</w:t>
      </w:r>
      <w:r w:rsidR="00D71967">
        <w:rPr>
          <w:rFonts w:cs="Calibri-BoldItalic"/>
          <w:bCs/>
          <w:iCs/>
        </w:rPr>
        <w:t xml:space="preserve">, </w:t>
      </w:r>
      <w:r w:rsidR="00787969">
        <w:rPr>
          <w:rFonts w:cs="Calibri-BoldItalic"/>
          <w:bCs/>
          <w:iCs/>
        </w:rPr>
        <w:t>20</w:t>
      </w:r>
      <w:r w:rsidR="009D68B3">
        <w:rPr>
          <w:rFonts w:cs="Calibri-BoldItalic"/>
          <w:bCs/>
          <w:iCs/>
        </w:rPr>
        <w:t>2</w:t>
      </w:r>
      <w:r w:rsidR="009D6198">
        <w:rPr>
          <w:rFonts w:cs="Calibri-BoldItalic"/>
          <w:bCs/>
          <w:iCs/>
        </w:rPr>
        <w:t>1</w:t>
      </w:r>
      <w:r w:rsidR="00D71967">
        <w:rPr>
          <w:rFonts w:cs="Calibri-BoldItalic"/>
          <w:bCs/>
          <w:iCs/>
        </w:rPr>
        <w:t>. At that point, e</w:t>
      </w:r>
      <w:r w:rsidRPr="007A78E0">
        <w:rPr>
          <w:rFonts w:cs="Calibri-BoldItalic"/>
          <w:bCs/>
          <w:iCs/>
        </w:rPr>
        <w:t xml:space="preserve">ach Provincial General Farm Organization will </w:t>
      </w:r>
      <w:r w:rsidR="00D71967">
        <w:rPr>
          <w:rFonts w:cs="Calibri-BoldItalic"/>
          <w:bCs/>
          <w:iCs/>
        </w:rPr>
        <w:t xml:space="preserve">then </w:t>
      </w:r>
      <w:r w:rsidRPr="007A78E0">
        <w:rPr>
          <w:rFonts w:cs="Calibri-BoldItalic"/>
          <w:bCs/>
          <w:iCs/>
        </w:rPr>
        <w:t xml:space="preserve">be </w:t>
      </w:r>
      <w:r w:rsidR="00D71967">
        <w:rPr>
          <w:rFonts w:cs="Calibri-BoldItalic"/>
          <w:bCs/>
          <w:iCs/>
        </w:rPr>
        <w:t xml:space="preserve">sent a package of all the expressions of interest and </w:t>
      </w:r>
      <w:r w:rsidRPr="007A78E0">
        <w:rPr>
          <w:rFonts w:cs="Calibri-BoldItalic"/>
          <w:bCs/>
          <w:iCs/>
        </w:rPr>
        <w:t xml:space="preserve">asked to </w:t>
      </w:r>
      <w:r w:rsidR="009C63C5">
        <w:rPr>
          <w:rFonts w:cs="Calibri-BoldItalic"/>
          <w:bCs/>
          <w:iCs/>
        </w:rPr>
        <w:t xml:space="preserve">select an individual nominee from that selection and contact them by no later than </w:t>
      </w:r>
      <w:r w:rsidR="00787969">
        <w:rPr>
          <w:rFonts w:cs="Calibri-BoldItalic"/>
          <w:bCs/>
          <w:iCs/>
        </w:rPr>
        <w:t>October 25th</w:t>
      </w:r>
      <w:r w:rsidR="009C63C5">
        <w:rPr>
          <w:rFonts w:cs="Calibri-BoldItalic"/>
          <w:bCs/>
          <w:iCs/>
        </w:rPr>
        <w:t xml:space="preserve">, </w:t>
      </w:r>
      <w:r w:rsidR="00787969">
        <w:rPr>
          <w:rFonts w:cs="Calibri-BoldItalic"/>
          <w:bCs/>
          <w:iCs/>
        </w:rPr>
        <w:t>20</w:t>
      </w:r>
      <w:r w:rsidR="009D68B3">
        <w:rPr>
          <w:rFonts w:cs="Calibri-BoldItalic"/>
          <w:bCs/>
          <w:iCs/>
        </w:rPr>
        <w:t>2</w:t>
      </w:r>
      <w:r w:rsidR="009D6198">
        <w:rPr>
          <w:rFonts w:cs="Calibri-BoldItalic"/>
          <w:bCs/>
          <w:iCs/>
        </w:rPr>
        <w:t>1</w:t>
      </w:r>
      <w:r w:rsidRPr="007A78E0">
        <w:rPr>
          <w:rFonts w:cs="Calibri-BoldItalic"/>
          <w:bCs/>
          <w:iCs/>
        </w:rPr>
        <w:t xml:space="preserve">. </w:t>
      </w:r>
    </w:p>
    <w:p w14:paraId="422264DC" w14:textId="666C980F" w:rsidR="009C63C5" w:rsidRDefault="009C63C5" w:rsidP="002E1517">
      <w:pPr>
        <w:rPr>
          <w:rFonts w:cs="Calibri-BoldItalic"/>
          <w:bCs/>
          <w:iCs/>
        </w:rPr>
      </w:pPr>
      <w:r>
        <w:rPr>
          <w:rFonts w:cs="Calibri-BoldItalic"/>
          <w:bCs/>
          <w:iCs/>
        </w:rPr>
        <w:t xml:space="preserve">Final nomination forms for </w:t>
      </w:r>
      <w:r w:rsidRPr="007A78E0">
        <w:rPr>
          <w:rFonts w:cs="Calibri-BoldItalic"/>
          <w:bCs/>
          <w:iCs/>
        </w:rPr>
        <w:t xml:space="preserve">the </w:t>
      </w:r>
      <w:r w:rsidRPr="007A78E0">
        <w:rPr>
          <w:rFonts w:cs="Calibri-BoldItalic"/>
          <w:bCs/>
          <w:i/>
          <w:iCs/>
        </w:rPr>
        <w:t xml:space="preserve">Brigid </w:t>
      </w:r>
      <w:proofErr w:type="spellStart"/>
      <w:r w:rsidRPr="007A78E0">
        <w:rPr>
          <w:rFonts w:cs="Calibri-BoldItalic"/>
          <w:bCs/>
          <w:i/>
          <w:iCs/>
        </w:rPr>
        <w:t>Rivoire</w:t>
      </w:r>
      <w:proofErr w:type="spellEnd"/>
      <w:r w:rsidRPr="007A78E0">
        <w:rPr>
          <w:rFonts w:cs="Calibri-BoldItalic"/>
          <w:bCs/>
          <w:i/>
          <w:iCs/>
        </w:rPr>
        <w:t xml:space="preserve"> Award for Champions of Agricultural Mental Health</w:t>
      </w:r>
      <w:r>
        <w:rPr>
          <w:rFonts w:cs="Calibri-BoldItalic"/>
          <w:bCs/>
          <w:iCs/>
        </w:rPr>
        <w:t xml:space="preserve"> must then be submitted by</w:t>
      </w:r>
      <w:r w:rsidR="00787969">
        <w:rPr>
          <w:rFonts w:cs="Calibri-BoldItalic"/>
          <w:bCs/>
          <w:iCs/>
        </w:rPr>
        <w:t xml:space="preserve"> each provincial/territorial farm organization</w:t>
      </w:r>
      <w:r>
        <w:rPr>
          <w:rFonts w:cs="Calibri-BoldItalic"/>
          <w:bCs/>
          <w:iCs/>
        </w:rPr>
        <w:t xml:space="preserve"> </w:t>
      </w:r>
      <w:r w:rsidR="00787969">
        <w:rPr>
          <w:rFonts w:cs="Calibri-BoldItalic"/>
          <w:bCs/>
          <w:iCs/>
        </w:rPr>
        <w:t>November 15</w:t>
      </w:r>
      <w:r w:rsidR="00787969" w:rsidRPr="00D71967">
        <w:rPr>
          <w:rFonts w:cs="Calibri-BoldItalic"/>
          <w:bCs/>
          <w:iCs/>
          <w:vertAlign w:val="superscript"/>
        </w:rPr>
        <w:t>th</w:t>
      </w:r>
      <w:r>
        <w:rPr>
          <w:rFonts w:cs="Calibri-BoldItalic"/>
          <w:bCs/>
          <w:iCs/>
        </w:rPr>
        <w:t>, 20</w:t>
      </w:r>
      <w:r w:rsidR="009D68B3">
        <w:rPr>
          <w:rFonts w:cs="Calibri-BoldItalic"/>
          <w:bCs/>
          <w:iCs/>
        </w:rPr>
        <w:t>2</w:t>
      </w:r>
      <w:r w:rsidR="009D6198">
        <w:rPr>
          <w:rFonts w:cs="Calibri-BoldItalic"/>
          <w:bCs/>
          <w:iCs/>
        </w:rPr>
        <w:t>1</w:t>
      </w:r>
      <w:r>
        <w:rPr>
          <w:rFonts w:cs="Calibri-BoldItalic"/>
          <w:bCs/>
          <w:iCs/>
        </w:rPr>
        <w:t xml:space="preserve"> for consideration by the Evaluation Panel. </w:t>
      </w:r>
    </w:p>
    <w:p w14:paraId="5FF59067" w14:textId="67BB34AA" w:rsidR="007A78E0" w:rsidRPr="007A78E0" w:rsidRDefault="007A78E0" w:rsidP="002E1517">
      <w:pPr>
        <w:rPr>
          <w:rFonts w:cs="Calibri-BoldItalic"/>
          <w:bCs/>
          <w:iCs/>
        </w:rPr>
      </w:pPr>
      <w:r w:rsidRPr="007A78E0">
        <w:rPr>
          <w:rFonts w:cs="Calibri-BoldItalic"/>
          <w:bCs/>
          <w:iCs/>
        </w:rPr>
        <w:t xml:space="preserve">A </w:t>
      </w:r>
      <w:r>
        <w:rPr>
          <w:rFonts w:cs="Calibri-BoldItalic"/>
          <w:bCs/>
          <w:iCs/>
        </w:rPr>
        <w:t>nomination</w:t>
      </w:r>
      <w:r w:rsidRPr="007A78E0">
        <w:rPr>
          <w:rFonts w:cs="Calibri-BoldItalic"/>
          <w:bCs/>
          <w:iCs/>
        </w:rPr>
        <w:t xml:space="preserve"> form </w:t>
      </w:r>
      <w:r w:rsidR="009C63C5">
        <w:rPr>
          <w:rFonts w:cs="Calibri-BoldItalic"/>
          <w:bCs/>
          <w:iCs/>
        </w:rPr>
        <w:t>is</w:t>
      </w:r>
      <w:r w:rsidRPr="007A78E0">
        <w:rPr>
          <w:rFonts w:cs="Calibri-BoldItalic"/>
          <w:bCs/>
          <w:iCs/>
        </w:rPr>
        <w:t xml:space="preserve"> posted on the CFA </w:t>
      </w:r>
      <w:r w:rsidR="00D71967" w:rsidRPr="007A78E0">
        <w:rPr>
          <w:rFonts w:cs="Calibri-BoldItalic"/>
          <w:bCs/>
          <w:iCs/>
        </w:rPr>
        <w:t>website</w:t>
      </w:r>
      <w:r w:rsidR="00D71967">
        <w:rPr>
          <w:rFonts w:cs="Calibri-BoldItalic"/>
          <w:bCs/>
          <w:iCs/>
        </w:rPr>
        <w:t xml:space="preserve"> for </w:t>
      </w:r>
      <w:r w:rsidR="009C63C5">
        <w:rPr>
          <w:rFonts w:cs="Calibri-BoldItalic"/>
          <w:bCs/>
          <w:iCs/>
        </w:rPr>
        <w:t xml:space="preserve">applicant’s </w:t>
      </w:r>
      <w:r w:rsidR="00D71967">
        <w:rPr>
          <w:rFonts w:cs="Calibri-BoldItalic"/>
          <w:bCs/>
          <w:iCs/>
        </w:rPr>
        <w:t>reference</w:t>
      </w:r>
      <w:r w:rsidR="009C63C5">
        <w:rPr>
          <w:rFonts w:cs="Calibri-BoldItalic"/>
          <w:bCs/>
          <w:iCs/>
        </w:rPr>
        <w:t xml:space="preserve"> </w:t>
      </w:r>
      <w:r w:rsidR="00D71967" w:rsidRPr="007A78E0">
        <w:rPr>
          <w:rFonts w:cs="Calibri-BoldItalic"/>
          <w:bCs/>
          <w:iCs/>
        </w:rPr>
        <w:t>and</w:t>
      </w:r>
      <w:r w:rsidR="009C63C5">
        <w:rPr>
          <w:rFonts w:cs="Calibri-BoldItalic"/>
          <w:bCs/>
          <w:iCs/>
        </w:rPr>
        <w:t xml:space="preserve"> a fillable version </w:t>
      </w:r>
      <w:r w:rsidRPr="007A78E0">
        <w:rPr>
          <w:rFonts w:cs="Calibri-BoldItalic"/>
          <w:bCs/>
          <w:iCs/>
        </w:rPr>
        <w:t xml:space="preserve">shared with each provincial general farm organization so that they can assist </w:t>
      </w:r>
      <w:r w:rsidR="009C63C5">
        <w:rPr>
          <w:rFonts w:cs="Calibri-BoldItalic"/>
          <w:bCs/>
          <w:iCs/>
        </w:rPr>
        <w:t xml:space="preserve">their </w:t>
      </w:r>
      <w:r w:rsidRPr="007A78E0">
        <w:rPr>
          <w:rFonts w:cs="Calibri-BoldItalic"/>
          <w:bCs/>
          <w:iCs/>
        </w:rPr>
        <w:t>nominee in completing their application forms</w:t>
      </w:r>
      <w:r w:rsidR="009C63C5">
        <w:rPr>
          <w:rFonts w:cs="Calibri-BoldItalic"/>
          <w:bCs/>
          <w:iCs/>
        </w:rPr>
        <w:t xml:space="preserve"> by the </w:t>
      </w:r>
      <w:r w:rsidR="00787969">
        <w:rPr>
          <w:rFonts w:cs="Calibri-BoldItalic"/>
          <w:bCs/>
          <w:iCs/>
        </w:rPr>
        <w:t>November 15</w:t>
      </w:r>
      <w:r w:rsidR="00787969" w:rsidRPr="00787969">
        <w:rPr>
          <w:rFonts w:cs="Calibri-BoldItalic"/>
          <w:bCs/>
          <w:iCs/>
          <w:vertAlign w:val="superscript"/>
        </w:rPr>
        <w:t>th</w:t>
      </w:r>
      <w:r w:rsidR="00787969">
        <w:rPr>
          <w:rFonts w:cs="Calibri-BoldItalic"/>
          <w:bCs/>
          <w:iCs/>
        </w:rPr>
        <w:t xml:space="preserve"> </w:t>
      </w:r>
      <w:r w:rsidR="009C63C5">
        <w:rPr>
          <w:rFonts w:cs="Calibri-BoldItalic"/>
          <w:bCs/>
          <w:iCs/>
        </w:rPr>
        <w:t>deadline</w:t>
      </w:r>
    </w:p>
    <w:p w14:paraId="5765AA79" w14:textId="6891C9A7" w:rsidR="0077452A" w:rsidRPr="007A78E0" w:rsidRDefault="0077452A" w:rsidP="002E1517">
      <w:pPr>
        <w:rPr>
          <w:rFonts w:cs="Calibri-BoldItalic"/>
          <w:bCs/>
          <w:iCs/>
        </w:rPr>
      </w:pPr>
      <w:r w:rsidRPr="007A78E0">
        <w:rPr>
          <w:rFonts w:cs="Calibri-BoldItalic"/>
          <w:bCs/>
          <w:iCs/>
        </w:rPr>
        <w:t>CFA will also</w:t>
      </w:r>
      <w:r w:rsidR="007A78E0" w:rsidRPr="007A78E0">
        <w:rPr>
          <w:rFonts w:cs="Calibri-BoldItalic"/>
          <w:bCs/>
          <w:iCs/>
        </w:rPr>
        <w:t xml:space="preserve"> raise awareness of the </w:t>
      </w:r>
      <w:r w:rsidR="007A78E0">
        <w:rPr>
          <w:rFonts w:cs="Calibri-BoldItalic"/>
          <w:bCs/>
          <w:iCs/>
        </w:rPr>
        <w:t>nomination</w:t>
      </w:r>
      <w:r w:rsidR="007A78E0" w:rsidRPr="007A78E0">
        <w:rPr>
          <w:rFonts w:cs="Calibri-BoldItalic"/>
          <w:bCs/>
          <w:iCs/>
        </w:rPr>
        <w:t xml:space="preserve"> window through its website, social media and other communication channels, directing prospective applicants to reach out to their respective provincial general farm organizations. Other partner organizations (listed on the following page) will also promote this opportunity at their discretion.</w:t>
      </w:r>
    </w:p>
    <w:p w14:paraId="46E1DECA" w14:textId="0FE552B2" w:rsidR="0077452A" w:rsidRPr="007A78E0" w:rsidRDefault="002F5426" w:rsidP="002E1517">
      <w:pPr>
        <w:rPr>
          <w:rFonts w:cs="Calibri-BoldItalic"/>
          <w:b/>
          <w:bCs/>
          <w:iCs/>
          <w:sz w:val="24"/>
        </w:rPr>
      </w:pPr>
      <w:r>
        <w:rPr>
          <w:rFonts w:cs="Calibri-BoldItalic"/>
          <w:b/>
          <w:bCs/>
          <w:iCs/>
          <w:sz w:val="24"/>
        </w:rPr>
        <w:t>Evaluation</w:t>
      </w:r>
      <w:r w:rsidR="007A78E0">
        <w:rPr>
          <w:rFonts w:cs="Calibri-BoldItalic"/>
          <w:b/>
          <w:bCs/>
          <w:iCs/>
          <w:sz w:val="24"/>
        </w:rPr>
        <w:t xml:space="preserve">: </w:t>
      </w:r>
    </w:p>
    <w:p w14:paraId="68B4031A" w14:textId="10F45689" w:rsidR="0077452A" w:rsidRPr="00032A32" w:rsidRDefault="007A78E0" w:rsidP="002E1517">
      <w:pPr>
        <w:rPr>
          <w:rFonts w:cs="Calibri-BoldItalic"/>
          <w:bCs/>
          <w:i/>
          <w:iCs/>
        </w:rPr>
      </w:pPr>
      <w:r w:rsidRPr="00032A32">
        <w:rPr>
          <w:rFonts w:cs="Calibri-BoldItalic"/>
          <w:bCs/>
          <w:i/>
          <w:iCs/>
        </w:rPr>
        <w:t>Stage 1</w:t>
      </w:r>
    </w:p>
    <w:p w14:paraId="4B07FBA6" w14:textId="241641D3" w:rsidR="0077452A" w:rsidRPr="00032A32" w:rsidRDefault="007A78E0" w:rsidP="00213458">
      <w:pPr>
        <w:rPr>
          <w:rFonts w:cs="Calibri-BoldItalic"/>
          <w:bCs/>
          <w:iCs/>
        </w:rPr>
      </w:pPr>
      <w:r w:rsidRPr="00032A32">
        <w:rPr>
          <w:rFonts w:cs="Calibri-BoldItalic"/>
          <w:bCs/>
          <w:iCs/>
        </w:rPr>
        <w:t xml:space="preserve">Stage I will consist of an eligibility review to determine whether </w:t>
      </w:r>
      <w:r w:rsidR="009C63C5" w:rsidRPr="00032A32">
        <w:rPr>
          <w:rFonts w:cs="Calibri-BoldItalic"/>
          <w:bCs/>
          <w:iCs/>
        </w:rPr>
        <w:t xml:space="preserve">expressions of interest </w:t>
      </w:r>
      <w:r w:rsidRPr="00032A32">
        <w:rPr>
          <w:rFonts w:cs="Calibri-BoldItalic"/>
          <w:bCs/>
          <w:iCs/>
        </w:rPr>
        <w:t>comply with all of the</w:t>
      </w:r>
      <w:r w:rsidR="00213458" w:rsidRPr="00032A32">
        <w:rPr>
          <w:rFonts w:cs="Calibri-BoldItalic"/>
          <w:bCs/>
          <w:iCs/>
        </w:rPr>
        <w:t xml:space="preserve"> </w:t>
      </w:r>
      <w:r w:rsidRPr="00032A32">
        <w:rPr>
          <w:rFonts w:cs="Calibri-BoldItalic"/>
          <w:bCs/>
          <w:iCs/>
        </w:rPr>
        <w:t xml:space="preserve">eligibility requirements, asking questions of clarification to ensure applications are complete. Upon receipt of each </w:t>
      </w:r>
      <w:r w:rsidR="009C63C5" w:rsidRPr="00032A32">
        <w:rPr>
          <w:rFonts w:cs="Calibri-BoldItalic"/>
          <w:bCs/>
          <w:iCs/>
        </w:rPr>
        <w:t>expression of interest</w:t>
      </w:r>
      <w:r w:rsidRPr="00032A32">
        <w:rPr>
          <w:rFonts w:cs="Calibri-BoldItalic"/>
          <w:bCs/>
          <w:iCs/>
        </w:rPr>
        <w:t>, CFA staff will</w:t>
      </w:r>
      <w:r w:rsidR="00213458" w:rsidRPr="00032A32">
        <w:rPr>
          <w:rFonts w:cs="Calibri-BoldItalic"/>
          <w:bCs/>
          <w:iCs/>
        </w:rPr>
        <w:t xml:space="preserve"> immediately</w:t>
      </w:r>
      <w:r w:rsidRPr="00032A32">
        <w:rPr>
          <w:rFonts w:cs="Calibri-BoldItalic"/>
          <w:bCs/>
          <w:iCs/>
        </w:rPr>
        <w:t xml:space="preserve"> </w:t>
      </w:r>
      <w:r w:rsidR="00213458" w:rsidRPr="00032A32">
        <w:rPr>
          <w:rFonts w:cs="Calibri-BoldItalic"/>
          <w:bCs/>
          <w:iCs/>
        </w:rPr>
        <w:t>undertake the eligibility review</w:t>
      </w:r>
      <w:r w:rsidRPr="00032A32">
        <w:rPr>
          <w:rFonts w:cs="Calibri-BoldItalic"/>
          <w:bCs/>
          <w:iCs/>
        </w:rPr>
        <w:t xml:space="preserve"> and will confer with the </w:t>
      </w:r>
      <w:r w:rsidR="009C63C5" w:rsidRPr="00032A32">
        <w:rPr>
          <w:rFonts w:cs="Calibri-BoldItalic"/>
          <w:bCs/>
          <w:iCs/>
        </w:rPr>
        <w:t xml:space="preserve">interested party </w:t>
      </w:r>
      <w:r w:rsidRPr="00032A32">
        <w:rPr>
          <w:rFonts w:cs="Calibri-BoldItalic"/>
          <w:bCs/>
          <w:iCs/>
        </w:rPr>
        <w:t>if there is a discrepancy on the eligibility of specific applications</w:t>
      </w:r>
      <w:r w:rsidR="00213458" w:rsidRPr="00032A32">
        <w:rPr>
          <w:rFonts w:cs="Calibri-BoldItalic"/>
          <w:bCs/>
          <w:iCs/>
        </w:rPr>
        <w:t xml:space="preserve"> </w:t>
      </w:r>
      <w:r w:rsidRPr="00032A32">
        <w:rPr>
          <w:rFonts w:cs="Calibri-BoldItalic"/>
          <w:bCs/>
          <w:iCs/>
        </w:rPr>
        <w:t xml:space="preserve">after the </w:t>
      </w:r>
      <w:r w:rsidR="00213458" w:rsidRPr="00032A32">
        <w:rPr>
          <w:rFonts w:cs="Calibri-BoldItalic"/>
          <w:bCs/>
          <w:iCs/>
        </w:rPr>
        <w:t>initial</w:t>
      </w:r>
      <w:r w:rsidRPr="00032A32">
        <w:rPr>
          <w:rFonts w:cs="Calibri-BoldItalic"/>
          <w:bCs/>
          <w:iCs/>
        </w:rPr>
        <w:t xml:space="preserve"> review. </w:t>
      </w:r>
      <w:r w:rsidR="00787969">
        <w:rPr>
          <w:rFonts w:cs="Calibri-BoldItalic"/>
          <w:bCs/>
          <w:iCs/>
        </w:rPr>
        <w:t>At the conclusion of this stage, a long-list of no more than 13 candidates will be finalized (no more than 1 from each province/territory), with applications then submitted to a subset of evaluation panelists for their review.</w:t>
      </w:r>
    </w:p>
    <w:p w14:paraId="68302659" w14:textId="5DE11E99" w:rsidR="00213458" w:rsidRPr="00032A32" w:rsidRDefault="00213458" w:rsidP="00213458">
      <w:pPr>
        <w:rPr>
          <w:rFonts w:cs="Calibri-BoldItalic"/>
          <w:bCs/>
          <w:i/>
          <w:iCs/>
        </w:rPr>
      </w:pPr>
      <w:r w:rsidRPr="00032A32">
        <w:rPr>
          <w:rFonts w:cs="Calibri-BoldItalic"/>
          <w:bCs/>
          <w:i/>
          <w:iCs/>
        </w:rPr>
        <w:t>Stage 2</w:t>
      </w:r>
    </w:p>
    <w:p w14:paraId="291CDE3A" w14:textId="2EFE7BF3" w:rsidR="00D05458" w:rsidRDefault="00213458">
      <w:pPr>
        <w:rPr>
          <w:rFonts w:cs="Calibri-BoldItalic"/>
          <w:bCs/>
          <w:iCs/>
        </w:rPr>
      </w:pPr>
      <w:r w:rsidRPr="00032A32">
        <w:rPr>
          <w:rFonts w:cs="Calibri-BoldItalic"/>
          <w:bCs/>
          <w:iCs/>
        </w:rPr>
        <w:t xml:space="preserve">Stage 2 will consist of a scoring of each eligible application by at least 3 members of the </w:t>
      </w:r>
      <w:r w:rsidR="002F5426" w:rsidRPr="00032A32">
        <w:rPr>
          <w:rFonts w:cs="Calibri-BoldItalic"/>
          <w:bCs/>
          <w:iCs/>
        </w:rPr>
        <w:t>Evaluation</w:t>
      </w:r>
      <w:r w:rsidRPr="00032A32">
        <w:rPr>
          <w:rFonts w:cs="Calibri-BoldItalic"/>
          <w:bCs/>
          <w:iCs/>
        </w:rPr>
        <w:t xml:space="preserve"> Panel on the basis of the </w:t>
      </w:r>
      <w:r w:rsidR="002F5426" w:rsidRPr="00032A32">
        <w:rPr>
          <w:rFonts w:cs="Calibri-BoldItalic"/>
          <w:bCs/>
          <w:iCs/>
        </w:rPr>
        <w:t>evaluation</w:t>
      </w:r>
      <w:r w:rsidRPr="00032A32">
        <w:rPr>
          <w:rFonts w:cs="Calibri-BoldItalic"/>
          <w:bCs/>
          <w:iCs/>
        </w:rPr>
        <w:t xml:space="preserve"> criteria. Adjudicators will send their scores </w:t>
      </w:r>
      <w:r w:rsidR="0065337A">
        <w:rPr>
          <w:rFonts w:cs="Calibri-BoldItalic"/>
          <w:bCs/>
          <w:iCs/>
        </w:rPr>
        <w:t xml:space="preserve">and review notes </w:t>
      </w:r>
      <w:r w:rsidRPr="00032A32">
        <w:rPr>
          <w:rFonts w:cs="Calibri-BoldItalic"/>
          <w:bCs/>
          <w:iCs/>
        </w:rPr>
        <w:t xml:space="preserve">by </w:t>
      </w:r>
      <w:r w:rsidR="00787969">
        <w:rPr>
          <w:rFonts w:cs="Calibri-BoldItalic"/>
          <w:bCs/>
          <w:iCs/>
        </w:rPr>
        <w:t>December 6</w:t>
      </w:r>
      <w:r w:rsidR="00787969" w:rsidRPr="00787969">
        <w:rPr>
          <w:rFonts w:cs="Calibri-BoldItalic"/>
          <w:bCs/>
          <w:iCs/>
          <w:vertAlign w:val="superscript"/>
        </w:rPr>
        <w:t>th</w:t>
      </w:r>
      <w:r w:rsidR="00787969">
        <w:rPr>
          <w:rFonts w:cs="Calibri-BoldItalic"/>
          <w:bCs/>
          <w:iCs/>
        </w:rPr>
        <w:t>, 20</w:t>
      </w:r>
      <w:r w:rsidR="00D05458">
        <w:rPr>
          <w:rFonts w:cs="Calibri-BoldItalic"/>
          <w:bCs/>
          <w:iCs/>
        </w:rPr>
        <w:t>2</w:t>
      </w:r>
      <w:r w:rsidR="009D6198">
        <w:rPr>
          <w:rFonts w:cs="Calibri-BoldItalic"/>
          <w:bCs/>
          <w:iCs/>
        </w:rPr>
        <w:t>1</w:t>
      </w:r>
      <w:r w:rsidRPr="00032A32">
        <w:rPr>
          <w:rFonts w:cs="Calibri-BoldItalic"/>
          <w:bCs/>
          <w:iCs/>
        </w:rPr>
        <w:t xml:space="preserve"> to the appropriate CFA staff. Based on the compilation of these scores, </w:t>
      </w:r>
      <w:r w:rsidR="0065337A">
        <w:rPr>
          <w:rFonts w:cs="Calibri-BoldItalic"/>
          <w:bCs/>
          <w:iCs/>
        </w:rPr>
        <w:t xml:space="preserve">candidates will be ranked and the top </w:t>
      </w:r>
      <w:r w:rsidRPr="00032A32">
        <w:rPr>
          <w:rFonts w:cs="Calibri-BoldItalic"/>
          <w:bCs/>
          <w:iCs/>
        </w:rPr>
        <w:t>3</w:t>
      </w:r>
      <w:r w:rsidR="0065337A">
        <w:rPr>
          <w:rFonts w:cs="Calibri-BoldItalic"/>
          <w:bCs/>
          <w:iCs/>
        </w:rPr>
        <w:t xml:space="preserve"> scoring</w:t>
      </w:r>
      <w:r w:rsidRPr="00032A32">
        <w:rPr>
          <w:rFonts w:cs="Calibri-BoldItalic"/>
          <w:bCs/>
          <w:iCs/>
        </w:rPr>
        <w:t xml:space="preserve"> applications will be short-listed as potential recipients and their nomination forms will be sent to the entire </w:t>
      </w:r>
      <w:r w:rsidR="002F5426" w:rsidRPr="00032A32">
        <w:rPr>
          <w:rFonts w:cs="Calibri-BoldItalic"/>
          <w:bCs/>
          <w:iCs/>
        </w:rPr>
        <w:t>Evaluation</w:t>
      </w:r>
      <w:r w:rsidRPr="00032A32">
        <w:rPr>
          <w:rFonts w:cs="Calibri-BoldItalic"/>
          <w:bCs/>
          <w:iCs/>
        </w:rPr>
        <w:t xml:space="preserve"> panel for their review.</w:t>
      </w:r>
      <w:r w:rsidR="0065337A">
        <w:rPr>
          <w:rFonts w:cs="Calibri-BoldItalic"/>
          <w:bCs/>
          <w:iCs/>
        </w:rPr>
        <w:t xml:space="preserve"> </w:t>
      </w:r>
    </w:p>
    <w:p w14:paraId="1B5F489E" w14:textId="26B5D799" w:rsidR="00213458" w:rsidRPr="00032A32" w:rsidRDefault="00213458">
      <w:pPr>
        <w:rPr>
          <w:rFonts w:cs="Calibri-BoldItalic"/>
          <w:bCs/>
          <w:i/>
          <w:iCs/>
        </w:rPr>
      </w:pPr>
      <w:r w:rsidRPr="00032A32">
        <w:rPr>
          <w:rFonts w:cs="Calibri-BoldItalic"/>
          <w:bCs/>
          <w:i/>
          <w:iCs/>
        </w:rPr>
        <w:t>Stage 3</w:t>
      </w:r>
    </w:p>
    <w:p w14:paraId="4D6BA2D9" w14:textId="53862226" w:rsidR="0065337A" w:rsidRDefault="0065337A">
      <w:pPr>
        <w:rPr>
          <w:rFonts w:cs="Calibri-BoldItalic"/>
          <w:bCs/>
          <w:iCs/>
        </w:rPr>
      </w:pPr>
      <w:r>
        <w:rPr>
          <w:rFonts w:cs="Calibri-BoldItalic"/>
          <w:bCs/>
          <w:iCs/>
        </w:rPr>
        <w:t xml:space="preserve">Each of the short-listed applications will then be sent to the entire </w:t>
      </w:r>
      <w:r w:rsidR="002F5426" w:rsidRPr="00032A32">
        <w:rPr>
          <w:rFonts w:cs="Calibri-BoldItalic"/>
          <w:bCs/>
          <w:iCs/>
        </w:rPr>
        <w:t>evaluation</w:t>
      </w:r>
      <w:r w:rsidR="00213458" w:rsidRPr="00032A32">
        <w:rPr>
          <w:rFonts w:cs="Calibri-BoldItalic"/>
          <w:bCs/>
          <w:iCs/>
        </w:rPr>
        <w:t xml:space="preserve"> panel</w:t>
      </w:r>
      <w:r>
        <w:rPr>
          <w:rFonts w:cs="Calibri-BoldItalic"/>
          <w:bCs/>
          <w:iCs/>
        </w:rPr>
        <w:t>, ensuring each short-listed applicant has been reviewed by each of the evaluation panelists. All scores and notes will be shared with the appropriate CFA staff and compiled. Once all reviews are in, CFA staff will share final scores and all comments (anonymized) with the entire evaluation panel. The final recipient will be selected bas</w:t>
      </w:r>
      <w:r w:rsidR="00345B0D">
        <w:rPr>
          <w:rFonts w:cs="Calibri-BoldItalic"/>
          <w:bCs/>
          <w:iCs/>
        </w:rPr>
        <w:t>ed on the application receiving the highest overall score</w:t>
      </w:r>
      <w:proofErr w:type="gramStart"/>
      <w:r w:rsidR="00345B0D">
        <w:rPr>
          <w:rFonts w:cs="Calibri-BoldItalic"/>
          <w:bCs/>
          <w:iCs/>
        </w:rPr>
        <w:t xml:space="preserve">. </w:t>
      </w:r>
      <w:r w:rsidR="00213458" w:rsidRPr="00032A32">
        <w:rPr>
          <w:rFonts w:cs="Calibri-BoldItalic"/>
          <w:bCs/>
          <w:iCs/>
        </w:rPr>
        <w:t>.</w:t>
      </w:r>
      <w:proofErr w:type="gramEnd"/>
      <w:r w:rsidR="00213458" w:rsidRPr="00032A32">
        <w:rPr>
          <w:rFonts w:cs="Calibri-BoldItalic"/>
          <w:bCs/>
          <w:iCs/>
        </w:rPr>
        <w:t xml:space="preserve"> Following this stage, the CFA will contact the recipient and relevant provincial general farm organization</w:t>
      </w:r>
      <w:r>
        <w:rPr>
          <w:rFonts w:cs="Calibri-BoldItalic"/>
          <w:bCs/>
          <w:iCs/>
        </w:rPr>
        <w:t>.</w:t>
      </w:r>
    </w:p>
    <w:p w14:paraId="35533B72" w14:textId="57E2AE0E" w:rsidR="0065337A" w:rsidRPr="0065337A" w:rsidRDefault="0065337A" w:rsidP="0065337A">
      <w:pPr>
        <w:rPr>
          <w:rFonts w:cs="Calibri-BoldItalic"/>
          <w:bCs/>
          <w:i/>
        </w:rPr>
      </w:pPr>
      <w:r>
        <w:rPr>
          <w:rFonts w:cs="Calibri-BoldItalic"/>
          <w:bCs/>
          <w:i/>
        </w:rPr>
        <w:t xml:space="preserve">Tie-breakers: </w:t>
      </w:r>
      <w:r w:rsidRPr="0065337A">
        <w:rPr>
          <w:rFonts w:cs="Calibri-BoldItalic"/>
          <w:bCs/>
          <w:i/>
        </w:rPr>
        <w:t xml:space="preserve">In instances where applicants have the same score, preventing identification of </w:t>
      </w:r>
      <w:r>
        <w:rPr>
          <w:rFonts w:cs="Calibri-BoldItalic"/>
          <w:bCs/>
          <w:i/>
        </w:rPr>
        <w:t xml:space="preserve">either the </w:t>
      </w:r>
      <w:r w:rsidRPr="0065337A">
        <w:rPr>
          <w:rFonts w:cs="Calibri-BoldItalic"/>
          <w:bCs/>
          <w:i/>
        </w:rPr>
        <w:t>3 short-listed candidates</w:t>
      </w:r>
      <w:r>
        <w:rPr>
          <w:rFonts w:cs="Calibri-BoldItalic"/>
          <w:bCs/>
          <w:i/>
        </w:rPr>
        <w:t xml:space="preserve"> or the final recipient</w:t>
      </w:r>
      <w:r w:rsidRPr="0065337A">
        <w:rPr>
          <w:rFonts w:cs="Calibri-BoldItalic"/>
          <w:bCs/>
          <w:i/>
        </w:rPr>
        <w:t xml:space="preserve">, the evaluation panel will be brought together </w:t>
      </w:r>
      <w:r w:rsidR="00345B0D">
        <w:rPr>
          <w:rFonts w:cs="Calibri-BoldItalic"/>
          <w:bCs/>
          <w:i/>
        </w:rPr>
        <w:t>to discuss the respective applications and seek a consensus-based decision. Where consensus is note possible, panelists will be asked vote on each of the tied</w:t>
      </w:r>
      <w:r>
        <w:rPr>
          <w:rFonts w:cs="Calibri-BoldItalic"/>
          <w:bCs/>
          <w:i/>
        </w:rPr>
        <w:t xml:space="preserve"> application</w:t>
      </w:r>
      <w:r w:rsidR="00345B0D">
        <w:rPr>
          <w:rFonts w:cs="Calibri-BoldItalic"/>
          <w:bCs/>
          <w:i/>
        </w:rPr>
        <w:t>s,</w:t>
      </w:r>
      <w:r>
        <w:rPr>
          <w:rFonts w:cs="Calibri-BoldItalic"/>
          <w:bCs/>
          <w:i/>
        </w:rPr>
        <w:t xml:space="preserve"> </w:t>
      </w:r>
      <w:r w:rsidR="00345B0D">
        <w:rPr>
          <w:rFonts w:cs="Calibri-BoldItalic"/>
          <w:bCs/>
          <w:i/>
        </w:rPr>
        <w:t xml:space="preserve">relying on </w:t>
      </w:r>
      <w:r>
        <w:rPr>
          <w:rFonts w:cs="Calibri-BoldItalic"/>
          <w:bCs/>
          <w:i/>
        </w:rPr>
        <w:t>the majority of panelist votes</w:t>
      </w:r>
      <w:r w:rsidR="00345B0D">
        <w:rPr>
          <w:rFonts w:cs="Calibri-BoldItalic"/>
          <w:bCs/>
          <w:i/>
        </w:rPr>
        <w:t xml:space="preserve"> to break ties in application scoring</w:t>
      </w:r>
      <w:r>
        <w:rPr>
          <w:rFonts w:cs="Calibri-BoldItalic"/>
          <w:bCs/>
          <w:i/>
        </w:rPr>
        <w:t>.</w:t>
      </w:r>
    </w:p>
    <w:p w14:paraId="24467E7E" w14:textId="66EA8134" w:rsidR="0077452A" w:rsidRDefault="00213458">
      <w:pPr>
        <w:rPr>
          <w:rFonts w:cs="Calibri-BoldItalic"/>
          <w:bCs/>
          <w:iCs/>
          <w:sz w:val="24"/>
        </w:rPr>
      </w:pPr>
      <w:r w:rsidRPr="00032A32">
        <w:rPr>
          <w:rFonts w:cs="Calibri-BoldItalic"/>
          <w:bCs/>
          <w:iCs/>
        </w:rPr>
        <w:t>.</w:t>
      </w:r>
      <w:r w:rsidR="0077452A">
        <w:rPr>
          <w:rFonts w:cs="Calibri-BoldItalic"/>
          <w:bCs/>
          <w:iCs/>
          <w:sz w:val="24"/>
        </w:rPr>
        <w:br w:type="page"/>
      </w:r>
    </w:p>
    <w:p w14:paraId="33AF7700" w14:textId="496DF3D3" w:rsidR="0077452A" w:rsidRDefault="0077452A" w:rsidP="002E1517">
      <w:pPr>
        <w:rPr>
          <w:rFonts w:cs="Calibri-BoldItalic"/>
          <w:b/>
          <w:bCs/>
          <w:iCs/>
          <w:sz w:val="28"/>
          <w:szCs w:val="28"/>
        </w:rPr>
      </w:pPr>
      <w:r w:rsidRPr="0077452A">
        <w:rPr>
          <w:rFonts w:cs="Calibri-BoldItalic"/>
          <w:b/>
          <w:bCs/>
          <w:iCs/>
          <w:sz w:val="28"/>
          <w:szCs w:val="28"/>
        </w:rPr>
        <w:lastRenderedPageBreak/>
        <w:t>Partner Organizations</w:t>
      </w:r>
      <w:r w:rsidR="00D9770E">
        <w:rPr>
          <w:rFonts w:cs="Calibri-BoldItalic"/>
          <w:b/>
          <w:bCs/>
          <w:iCs/>
          <w:sz w:val="28"/>
          <w:szCs w:val="28"/>
        </w:rPr>
        <w:t>:</w:t>
      </w:r>
    </w:p>
    <w:p w14:paraId="4316FC48" w14:textId="63D93FF4" w:rsidR="00213458" w:rsidRPr="00D9770E" w:rsidRDefault="00213458" w:rsidP="002E1517">
      <w:pPr>
        <w:rPr>
          <w:rFonts w:cs="Calibri-BoldItalic"/>
          <w:bCs/>
          <w:iCs/>
          <w:sz w:val="24"/>
          <w:szCs w:val="28"/>
        </w:rPr>
      </w:pPr>
      <w:r w:rsidRPr="00D9770E">
        <w:rPr>
          <w:rFonts w:cs="Calibri-BoldItalic"/>
          <w:bCs/>
          <w:iCs/>
          <w:sz w:val="24"/>
          <w:szCs w:val="28"/>
        </w:rPr>
        <w:t>Do More Agriculture Foundation – Do More Ag</w:t>
      </w:r>
    </w:p>
    <w:p w14:paraId="7D850280" w14:textId="2E499857" w:rsidR="00213458" w:rsidRPr="00D9770E" w:rsidRDefault="00213458" w:rsidP="002E1517">
      <w:pPr>
        <w:rPr>
          <w:rFonts w:cs="Calibri-BoldItalic"/>
          <w:bCs/>
          <w:iCs/>
          <w:sz w:val="24"/>
          <w:szCs w:val="28"/>
        </w:rPr>
      </w:pPr>
      <w:r w:rsidRPr="00D9770E">
        <w:rPr>
          <w:rFonts w:cs="Calibri-BoldItalic"/>
          <w:bCs/>
          <w:iCs/>
          <w:sz w:val="24"/>
          <w:szCs w:val="28"/>
        </w:rPr>
        <w:t>Canadian Agricultural Human Resource Council – CAHRC</w:t>
      </w:r>
    </w:p>
    <w:p w14:paraId="627A6BE0" w14:textId="5F2E7183" w:rsidR="00213458" w:rsidRPr="00D9770E" w:rsidRDefault="00213458" w:rsidP="002E1517">
      <w:pPr>
        <w:rPr>
          <w:rFonts w:cs="Calibri-BoldItalic"/>
          <w:bCs/>
          <w:iCs/>
          <w:sz w:val="24"/>
          <w:szCs w:val="28"/>
        </w:rPr>
      </w:pPr>
      <w:r w:rsidRPr="00D9770E">
        <w:rPr>
          <w:rFonts w:cs="Calibri-BoldItalic"/>
          <w:bCs/>
          <w:iCs/>
          <w:sz w:val="24"/>
          <w:szCs w:val="28"/>
        </w:rPr>
        <w:t>Farm Management Canada – FMC</w:t>
      </w:r>
    </w:p>
    <w:p w14:paraId="2160AE88" w14:textId="77777777" w:rsidR="00213458" w:rsidRPr="00D9770E" w:rsidRDefault="00213458" w:rsidP="002E1517">
      <w:pPr>
        <w:rPr>
          <w:rFonts w:cs="Calibri-BoldItalic"/>
          <w:bCs/>
          <w:iCs/>
          <w:sz w:val="24"/>
          <w:szCs w:val="28"/>
        </w:rPr>
      </w:pPr>
      <w:r w:rsidRPr="00D9770E">
        <w:rPr>
          <w:rFonts w:cs="Calibri-BoldItalic"/>
          <w:bCs/>
          <w:iCs/>
          <w:sz w:val="24"/>
          <w:szCs w:val="28"/>
        </w:rPr>
        <w:t>Canadian Agricultural Safety Association – CASA</w:t>
      </w:r>
    </w:p>
    <w:p w14:paraId="33C258BE" w14:textId="6B57C655" w:rsidR="00213458" w:rsidRPr="0077452A" w:rsidRDefault="00213458" w:rsidP="002E1517">
      <w:pPr>
        <w:rPr>
          <w:rFonts w:cs="Calibri-BoldItalic"/>
          <w:b/>
          <w:bCs/>
          <w:iCs/>
          <w:sz w:val="28"/>
          <w:szCs w:val="28"/>
        </w:rPr>
      </w:pPr>
      <w:r>
        <w:rPr>
          <w:rFonts w:cs="Calibri-BoldItalic"/>
          <w:b/>
          <w:bCs/>
          <w:iCs/>
          <w:sz w:val="28"/>
          <w:szCs w:val="28"/>
        </w:rPr>
        <w:br/>
      </w:r>
      <w:bookmarkStart w:id="1" w:name="_GoBack"/>
      <w:bookmarkEnd w:id="1"/>
    </w:p>
    <w:sectPr w:rsidR="00213458" w:rsidRPr="0077452A" w:rsidSect="00C25D3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3CD7" w14:textId="77777777" w:rsidR="00AB40F3" w:rsidRDefault="00AB40F3" w:rsidP="00603F34">
      <w:pPr>
        <w:spacing w:after="0" w:line="240" w:lineRule="auto"/>
      </w:pPr>
      <w:r>
        <w:separator/>
      </w:r>
    </w:p>
  </w:endnote>
  <w:endnote w:type="continuationSeparator" w:id="0">
    <w:p w14:paraId="78BA490B" w14:textId="77777777" w:rsidR="00AB40F3" w:rsidRDefault="00AB40F3" w:rsidP="0060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683D" w14:textId="77777777" w:rsidR="00AB40F3" w:rsidRDefault="00AB40F3" w:rsidP="00603F34">
      <w:pPr>
        <w:spacing w:after="0" w:line="240" w:lineRule="auto"/>
      </w:pPr>
      <w:r>
        <w:separator/>
      </w:r>
    </w:p>
  </w:footnote>
  <w:footnote w:type="continuationSeparator" w:id="0">
    <w:p w14:paraId="2D445616" w14:textId="77777777" w:rsidR="00AB40F3" w:rsidRDefault="00AB40F3" w:rsidP="00603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5A98" w14:textId="4EACA5FE" w:rsidR="00603F34" w:rsidRDefault="0060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7775"/>
    <w:multiLevelType w:val="hybridMultilevel"/>
    <w:tmpl w:val="CA0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34E77"/>
    <w:multiLevelType w:val="hybridMultilevel"/>
    <w:tmpl w:val="D8222878"/>
    <w:lvl w:ilvl="0" w:tplc="058C10E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815F9"/>
    <w:multiLevelType w:val="hybridMultilevel"/>
    <w:tmpl w:val="68D6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A3312"/>
    <w:multiLevelType w:val="hybridMultilevel"/>
    <w:tmpl w:val="D8222878"/>
    <w:lvl w:ilvl="0" w:tplc="058C10E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F4281"/>
    <w:multiLevelType w:val="hybridMultilevel"/>
    <w:tmpl w:val="D8222878"/>
    <w:lvl w:ilvl="0" w:tplc="058C10E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24E67"/>
    <w:multiLevelType w:val="hybridMultilevel"/>
    <w:tmpl w:val="F66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B630D"/>
    <w:multiLevelType w:val="hybridMultilevel"/>
    <w:tmpl w:val="D8222878"/>
    <w:lvl w:ilvl="0" w:tplc="058C10E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1D"/>
    <w:rsid w:val="00011691"/>
    <w:rsid w:val="00025E69"/>
    <w:rsid w:val="00032A32"/>
    <w:rsid w:val="0013532E"/>
    <w:rsid w:val="00136E1F"/>
    <w:rsid w:val="001412D3"/>
    <w:rsid w:val="001664EB"/>
    <w:rsid w:val="0018721D"/>
    <w:rsid w:val="00213458"/>
    <w:rsid w:val="00220D05"/>
    <w:rsid w:val="002E1517"/>
    <w:rsid w:val="002F5426"/>
    <w:rsid w:val="00345B0D"/>
    <w:rsid w:val="003517EE"/>
    <w:rsid w:val="003A16E0"/>
    <w:rsid w:val="00415F10"/>
    <w:rsid w:val="004C64D2"/>
    <w:rsid w:val="005220D9"/>
    <w:rsid w:val="00603F34"/>
    <w:rsid w:val="0065337A"/>
    <w:rsid w:val="00701344"/>
    <w:rsid w:val="0073107B"/>
    <w:rsid w:val="00757E59"/>
    <w:rsid w:val="00765CBD"/>
    <w:rsid w:val="0077452A"/>
    <w:rsid w:val="00787969"/>
    <w:rsid w:val="00792F12"/>
    <w:rsid w:val="007A78E0"/>
    <w:rsid w:val="007B74A8"/>
    <w:rsid w:val="007C0F08"/>
    <w:rsid w:val="007E6589"/>
    <w:rsid w:val="00807AD3"/>
    <w:rsid w:val="00851624"/>
    <w:rsid w:val="0087136C"/>
    <w:rsid w:val="00872A0F"/>
    <w:rsid w:val="008D5144"/>
    <w:rsid w:val="0092509D"/>
    <w:rsid w:val="009271A3"/>
    <w:rsid w:val="0097561D"/>
    <w:rsid w:val="009A17EE"/>
    <w:rsid w:val="009C63C5"/>
    <w:rsid w:val="009D6198"/>
    <w:rsid w:val="009D68B3"/>
    <w:rsid w:val="00AB0749"/>
    <w:rsid w:val="00AB40F3"/>
    <w:rsid w:val="00B6014C"/>
    <w:rsid w:val="00C25D39"/>
    <w:rsid w:val="00C541F1"/>
    <w:rsid w:val="00D05458"/>
    <w:rsid w:val="00D71967"/>
    <w:rsid w:val="00D9770E"/>
    <w:rsid w:val="00E63FFD"/>
    <w:rsid w:val="00E67562"/>
    <w:rsid w:val="00E7242C"/>
    <w:rsid w:val="00EE52C9"/>
    <w:rsid w:val="00F33C00"/>
    <w:rsid w:val="00F458AE"/>
    <w:rsid w:val="00F470D1"/>
    <w:rsid w:val="00F9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7DDD4"/>
  <w15:docId w15:val="{62A326CD-2345-4A5E-B16F-44BCD20E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34"/>
  </w:style>
  <w:style w:type="paragraph" w:styleId="Footer">
    <w:name w:val="footer"/>
    <w:basedOn w:val="Normal"/>
    <w:link w:val="FooterChar"/>
    <w:uiPriority w:val="99"/>
    <w:unhideWhenUsed/>
    <w:rsid w:val="00603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34"/>
  </w:style>
  <w:style w:type="paragraph" w:styleId="ListParagraph">
    <w:name w:val="List Paragraph"/>
    <w:basedOn w:val="Normal"/>
    <w:uiPriority w:val="34"/>
    <w:qFormat/>
    <w:rsid w:val="002E1517"/>
    <w:pPr>
      <w:ind w:left="720"/>
      <w:contextualSpacing/>
    </w:pPr>
  </w:style>
  <w:style w:type="table" w:styleId="TableGrid">
    <w:name w:val="Table Grid"/>
    <w:basedOn w:val="TableNormal"/>
    <w:uiPriority w:val="39"/>
    <w:rsid w:val="007E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50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09D"/>
    <w:rPr>
      <w:sz w:val="20"/>
      <w:szCs w:val="20"/>
    </w:rPr>
  </w:style>
  <w:style w:type="character" w:styleId="FootnoteReference">
    <w:name w:val="footnote reference"/>
    <w:basedOn w:val="DefaultParagraphFont"/>
    <w:uiPriority w:val="99"/>
    <w:semiHidden/>
    <w:unhideWhenUsed/>
    <w:rsid w:val="0092509D"/>
    <w:rPr>
      <w:vertAlign w:val="superscript"/>
    </w:rPr>
  </w:style>
  <w:style w:type="table" w:customStyle="1" w:styleId="GridTable6Colorful1">
    <w:name w:val="Grid Table 6 Colorful1"/>
    <w:basedOn w:val="TableNormal"/>
    <w:uiPriority w:val="51"/>
    <w:rsid w:val="009250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4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8AE"/>
    <w:rPr>
      <w:rFonts w:ascii="Segoe UI" w:hAnsi="Segoe UI" w:cs="Segoe UI"/>
      <w:sz w:val="18"/>
      <w:szCs w:val="18"/>
    </w:rPr>
  </w:style>
  <w:style w:type="character" w:styleId="CommentReference">
    <w:name w:val="annotation reference"/>
    <w:basedOn w:val="DefaultParagraphFont"/>
    <w:uiPriority w:val="99"/>
    <w:semiHidden/>
    <w:unhideWhenUsed/>
    <w:rsid w:val="00F458AE"/>
    <w:rPr>
      <w:sz w:val="16"/>
      <w:szCs w:val="16"/>
    </w:rPr>
  </w:style>
  <w:style w:type="paragraph" w:styleId="CommentText">
    <w:name w:val="annotation text"/>
    <w:basedOn w:val="Normal"/>
    <w:link w:val="CommentTextChar"/>
    <w:uiPriority w:val="99"/>
    <w:unhideWhenUsed/>
    <w:rsid w:val="00F458AE"/>
    <w:pPr>
      <w:spacing w:line="240" w:lineRule="auto"/>
    </w:pPr>
    <w:rPr>
      <w:sz w:val="20"/>
      <w:szCs w:val="20"/>
    </w:rPr>
  </w:style>
  <w:style w:type="character" w:customStyle="1" w:styleId="CommentTextChar">
    <w:name w:val="Comment Text Char"/>
    <w:basedOn w:val="DefaultParagraphFont"/>
    <w:link w:val="CommentText"/>
    <w:uiPriority w:val="99"/>
    <w:rsid w:val="00F458AE"/>
    <w:rPr>
      <w:sz w:val="20"/>
      <w:szCs w:val="20"/>
    </w:rPr>
  </w:style>
  <w:style w:type="paragraph" w:styleId="CommentSubject">
    <w:name w:val="annotation subject"/>
    <w:basedOn w:val="CommentText"/>
    <w:next w:val="CommentText"/>
    <w:link w:val="CommentSubjectChar"/>
    <w:uiPriority w:val="99"/>
    <w:semiHidden/>
    <w:unhideWhenUsed/>
    <w:rsid w:val="00F458AE"/>
    <w:rPr>
      <w:b/>
      <w:bCs/>
    </w:rPr>
  </w:style>
  <w:style w:type="character" w:customStyle="1" w:styleId="CommentSubjectChar">
    <w:name w:val="Comment Subject Char"/>
    <w:basedOn w:val="CommentTextChar"/>
    <w:link w:val="CommentSubject"/>
    <w:uiPriority w:val="99"/>
    <w:semiHidden/>
    <w:rsid w:val="00F458AE"/>
    <w:rPr>
      <w:b/>
      <w:bCs/>
      <w:sz w:val="20"/>
      <w:szCs w:val="20"/>
    </w:rPr>
  </w:style>
  <w:style w:type="paragraph" w:styleId="Revision">
    <w:name w:val="Revision"/>
    <w:hidden/>
    <w:uiPriority w:val="99"/>
    <w:semiHidden/>
    <w:rsid w:val="002F5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DD1B-3DEC-42CE-9302-C26B599E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Ross</dc:creator>
  <cp:lastModifiedBy>Matthew Houston</cp:lastModifiedBy>
  <cp:revision>2</cp:revision>
  <cp:lastPrinted>2018-06-07T19:46:00Z</cp:lastPrinted>
  <dcterms:created xsi:type="dcterms:W3CDTF">2021-03-02T15:21:00Z</dcterms:created>
  <dcterms:modified xsi:type="dcterms:W3CDTF">2021-03-02T15:21:00Z</dcterms:modified>
</cp:coreProperties>
</file>